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9C9F4" w14:textId="77777777" w:rsidR="00C85F24" w:rsidRPr="00C85F24" w:rsidRDefault="00C85F24" w:rsidP="00C85F24">
      <w:pPr>
        <w:rPr>
          <w:rFonts w:ascii="Arial" w:hAnsi="Arial" w:cs="Arial"/>
          <w:b/>
          <w:sz w:val="28"/>
        </w:rPr>
      </w:pPr>
      <w:r w:rsidRPr="00C85F24">
        <w:rPr>
          <w:rFonts w:ascii="Arial" w:hAnsi="Arial" w:cs="Arial"/>
          <w:b/>
          <w:sz w:val="28"/>
        </w:rPr>
        <w:t>Metropolitan Housing Trust Ltd / Metropolitan Funding PLC</w:t>
      </w:r>
    </w:p>
    <w:p w14:paraId="2357E6AC" w14:textId="77777777" w:rsidR="00F666A3" w:rsidRDefault="00F666A3" w:rsidP="00F666A3">
      <w:pPr>
        <w:rPr>
          <w:rFonts w:ascii="Arial" w:hAnsi="Arial" w:cs="Arial"/>
          <w:b/>
        </w:rPr>
      </w:pPr>
      <w:r w:rsidRPr="00F666A3">
        <w:rPr>
          <w:rFonts w:ascii="Arial" w:hAnsi="Arial" w:cs="Arial"/>
          <w:b/>
        </w:rPr>
        <w:t>Metropolitan Housing Trust (MHT), trading as MTVH, announces unaudited consolidated financial results for the year ended 31 March 2025</w:t>
      </w:r>
    </w:p>
    <w:p w14:paraId="008A7CAC" w14:textId="77777777" w:rsidR="007F5116" w:rsidRDefault="007F5116" w:rsidP="00C85F24">
      <w:pPr>
        <w:rPr>
          <w:rFonts w:ascii="Arial" w:hAnsi="Arial" w:cs="Arial"/>
          <w:b/>
        </w:rPr>
      </w:pPr>
      <w:r w:rsidRPr="007F5116">
        <w:rPr>
          <w:rFonts w:ascii="Arial" w:hAnsi="Arial" w:cs="Arial"/>
          <w:b/>
        </w:rPr>
        <w:t>Continued strong performance and delivery for our residents in 2024/25</w:t>
      </w:r>
    </w:p>
    <w:p w14:paraId="55B23BE3" w14:textId="2476E70C" w:rsidR="00C85F24" w:rsidRPr="00C85F24" w:rsidRDefault="00C85F24" w:rsidP="00C85F24">
      <w:pPr>
        <w:rPr>
          <w:rFonts w:ascii="Arial" w:hAnsi="Arial" w:cs="Arial"/>
          <w:b/>
        </w:rPr>
      </w:pPr>
      <w:r w:rsidRPr="00C85F24">
        <w:rPr>
          <w:rFonts w:ascii="Arial" w:hAnsi="Arial" w:cs="Arial"/>
          <w:b/>
        </w:rPr>
        <w:t>Overview and highlights</w:t>
      </w:r>
    </w:p>
    <w:p w14:paraId="31B04BA8" w14:textId="38A76199" w:rsidR="00C85F24" w:rsidRPr="00C85F24" w:rsidRDefault="00C85F24" w:rsidP="007F5116">
      <w:pPr>
        <w:pStyle w:val="ListParagraph"/>
        <w:numPr>
          <w:ilvl w:val="0"/>
          <w:numId w:val="1"/>
        </w:numPr>
        <w:spacing w:before="120" w:after="120" w:line="240" w:lineRule="auto"/>
        <w:ind w:left="1418" w:hanging="284"/>
        <w:contextualSpacing w:val="0"/>
        <w:rPr>
          <w:rFonts w:ascii="Arial" w:hAnsi="Arial" w:cs="Arial"/>
          <w:bCs/>
        </w:rPr>
      </w:pPr>
      <w:r w:rsidRPr="00C85F24">
        <w:rPr>
          <w:rFonts w:ascii="Arial" w:hAnsi="Arial" w:cs="Arial"/>
        </w:rPr>
        <w:t>Total revenue increased to £</w:t>
      </w:r>
      <w:r w:rsidR="00F666A3">
        <w:rPr>
          <w:rFonts w:ascii="Arial" w:hAnsi="Arial" w:cs="Arial"/>
        </w:rPr>
        <w:t>454</w:t>
      </w:r>
      <w:r w:rsidRPr="00C85F24">
        <w:rPr>
          <w:rFonts w:ascii="Arial" w:hAnsi="Arial" w:cs="Arial"/>
        </w:rPr>
        <w:t>m (</w:t>
      </w:r>
      <w:r w:rsidR="00F666A3">
        <w:rPr>
          <w:rFonts w:ascii="Arial" w:hAnsi="Arial" w:cs="Arial"/>
        </w:rPr>
        <w:t>FY</w:t>
      </w:r>
      <w:r w:rsidR="007A6E7E">
        <w:rPr>
          <w:rFonts w:ascii="Arial" w:hAnsi="Arial" w:cs="Arial"/>
        </w:rPr>
        <w:t>2</w:t>
      </w:r>
      <w:r w:rsidR="00057BA2">
        <w:rPr>
          <w:rFonts w:ascii="Arial" w:hAnsi="Arial" w:cs="Arial"/>
        </w:rPr>
        <w:t>4</w:t>
      </w:r>
      <w:r w:rsidR="00A5638F">
        <w:rPr>
          <w:rFonts w:ascii="Arial" w:hAnsi="Arial" w:cs="Arial"/>
        </w:rPr>
        <w:t>;</w:t>
      </w:r>
      <w:r w:rsidRPr="00C85F24">
        <w:rPr>
          <w:rFonts w:ascii="Arial" w:hAnsi="Arial" w:cs="Arial"/>
        </w:rPr>
        <w:t xml:space="preserve"> £</w:t>
      </w:r>
      <w:r w:rsidR="00F666A3">
        <w:rPr>
          <w:rFonts w:ascii="Arial" w:hAnsi="Arial" w:cs="Arial"/>
        </w:rPr>
        <w:t>42</w:t>
      </w:r>
      <w:r w:rsidR="00A829DF">
        <w:rPr>
          <w:rFonts w:ascii="Arial" w:hAnsi="Arial" w:cs="Arial"/>
        </w:rPr>
        <w:t>1</w:t>
      </w:r>
      <w:r w:rsidRPr="00C85F24">
        <w:rPr>
          <w:rFonts w:ascii="Arial" w:hAnsi="Arial" w:cs="Arial"/>
        </w:rPr>
        <w:t>m)</w:t>
      </w:r>
    </w:p>
    <w:p w14:paraId="53533DDA" w14:textId="11CCE508" w:rsidR="00C85F24" w:rsidRPr="00C85F24" w:rsidRDefault="00C85F24" w:rsidP="00415DEE">
      <w:pPr>
        <w:pStyle w:val="ListParagraph"/>
        <w:numPr>
          <w:ilvl w:val="2"/>
          <w:numId w:val="1"/>
        </w:numPr>
        <w:spacing w:before="120" w:after="120" w:line="240" w:lineRule="auto"/>
        <w:ind w:left="2171" w:hanging="357"/>
        <w:contextualSpacing w:val="0"/>
        <w:rPr>
          <w:rFonts w:ascii="Arial" w:hAnsi="Arial" w:cs="Arial"/>
        </w:rPr>
      </w:pPr>
      <w:r w:rsidRPr="00C85F24">
        <w:rPr>
          <w:rFonts w:ascii="Arial" w:hAnsi="Arial" w:cs="Arial"/>
        </w:rPr>
        <w:t>Revenue from rent and service charges £</w:t>
      </w:r>
      <w:r w:rsidR="008411E2">
        <w:rPr>
          <w:rFonts w:ascii="Arial" w:hAnsi="Arial" w:cs="Arial"/>
        </w:rPr>
        <w:t>3</w:t>
      </w:r>
      <w:r w:rsidR="00A829DF">
        <w:rPr>
          <w:rFonts w:ascii="Arial" w:hAnsi="Arial" w:cs="Arial"/>
        </w:rPr>
        <w:t>81</w:t>
      </w:r>
      <w:r w:rsidRPr="00C85F24">
        <w:rPr>
          <w:rFonts w:ascii="Arial" w:hAnsi="Arial" w:cs="Arial"/>
        </w:rPr>
        <w:t>m (</w:t>
      </w:r>
      <w:r w:rsidR="003A0F8B">
        <w:rPr>
          <w:rFonts w:ascii="Arial" w:hAnsi="Arial" w:cs="Arial"/>
        </w:rPr>
        <w:t>FY</w:t>
      </w:r>
      <w:r w:rsidRPr="00C85F24">
        <w:rPr>
          <w:rFonts w:ascii="Arial" w:hAnsi="Arial" w:cs="Arial"/>
        </w:rPr>
        <w:t>24</w:t>
      </w:r>
      <w:r w:rsidR="00A5638F">
        <w:rPr>
          <w:rFonts w:ascii="Arial" w:hAnsi="Arial" w:cs="Arial"/>
        </w:rPr>
        <w:t>:</w:t>
      </w:r>
      <w:r w:rsidRPr="00C85F24">
        <w:rPr>
          <w:rFonts w:ascii="Arial" w:hAnsi="Arial" w:cs="Arial"/>
        </w:rPr>
        <w:t xml:space="preserve"> £</w:t>
      </w:r>
      <w:r w:rsidR="008411E2">
        <w:rPr>
          <w:rFonts w:ascii="Arial" w:hAnsi="Arial" w:cs="Arial"/>
        </w:rPr>
        <w:t>3</w:t>
      </w:r>
      <w:r w:rsidR="00A829DF">
        <w:rPr>
          <w:rFonts w:ascii="Arial" w:hAnsi="Arial" w:cs="Arial"/>
        </w:rPr>
        <w:t>49</w:t>
      </w:r>
      <w:r w:rsidRPr="00C85F24">
        <w:rPr>
          <w:rFonts w:ascii="Arial" w:hAnsi="Arial" w:cs="Arial"/>
        </w:rPr>
        <w:t xml:space="preserve">m) driven by the government’s social rent increase of </w:t>
      </w:r>
      <w:r w:rsidR="00792CD9">
        <w:rPr>
          <w:rFonts w:ascii="Arial" w:hAnsi="Arial" w:cs="Arial"/>
        </w:rPr>
        <w:t>7.7</w:t>
      </w:r>
      <w:r w:rsidRPr="00C85F24">
        <w:rPr>
          <w:rFonts w:ascii="Arial" w:hAnsi="Arial" w:cs="Arial"/>
        </w:rPr>
        <w:t>%</w:t>
      </w:r>
    </w:p>
    <w:p w14:paraId="3B78BB86" w14:textId="04B397A5" w:rsidR="00C85F24" w:rsidRPr="00C85F24" w:rsidRDefault="00C85F24" w:rsidP="00415DEE">
      <w:pPr>
        <w:pStyle w:val="ListParagraph"/>
        <w:numPr>
          <w:ilvl w:val="2"/>
          <w:numId w:val="1"/>
        </w:numPr>
        <w:spacing w:before="120" w:after="120" w:line="240" w:lineRule="auto"/>
        <w:ind w:left="2171" w:hanging="357"/>
        <w:contextualSpacing w:val="0"/>
        <w:rPr>
          <w:rFonts w:ascii="Arial" w:hAnsi="Arial" w:cs="Arial"/>
          <w:bCs/>
        </w:rPr>
      </w:pPr>
      <w:bookmarkStart w:id="0" w:name="_Hlk198732344"/>
      <w:r w:rsidRPr="00C85F24">
        <w:rPr>
          <w:rFonts w:ascii="Arial" w:hAnsi="Arial" w:cs="Arial"/>
          <w:bCs/>
        </w:rPr>
        <w:t xml:space="preserve">Higher sales of new homes </w:t>
      </w:r>
      <w:r w:rsidRPr="00C85F24">
        <w:rPr>
          <w:rFonts w:ascii="Arial" w:eastAsia="Times New Roman" w:hAnsi="Arial" w:cs="Arial"/>
          <w:szCs w:val="24"/>
          <w:lang w:val="en-US"/>
        </w:rPr>
        <w:t>(</w:t>
      </w:r>
      <w:r w:rsidR="005F29C3">
        <w:rPr>
          <w:rFonts w:ascii="Arial" w:eastAsia="Times New Roman" w:hAnsi="Arial" w:cs="Arial"/>
          <w:szCs w:val="24"/>
          <w:lang w:val="en-US"/>
        </w:rPr>
        <w:t>289</w:t>
      </w:r>
      <w:r w:rsidRPr="00C85F24">
        <w:rPr>
          <w:rFonts w:ascii="Arial" w:eastAsia="Times New Roman" w:hAnsi="Arial" w:cs="Arial"/>
          <w:szCs w:val="24"/>
          <w:lang w:val="en-US"/>
        </w:rPr>
        <w:t xml:space="preserve"> </w:t>
      </w:r>
      <w:r w:rsidR="003A0F8B">
        <w:rPr>
          <w:rFonts w:ascii="Arial" w:eastAsia="Times New Roman" w:hAnsi="Arial" w:cs="Arial"/>
          <w:szCs w:val="24"/>
          <w:lang w:val="en-US"/>
        </w:rPr>
        <w:t>FY</w:t>
      </w:r>
      <w:r w:rsidRPr="00C85F24">
        <w:rPr>
          <w:rFonts w:ascii="Arial" w:eastAsia="Times New Roman" w:hAnsi="Arial" w:cs="Arial"/>
          <w:szCs w:val="24"/>
          <w:lang w:val="en-US"/>
        </w:rPr>
        <w:t xml:space="preserve">25 vs </w:t>
      </w:r>
      <w:r w:rsidR="005F29C3">
        <w:rPr>
          <w:rFonts w:ascii="Arial" w:eastAsia="Times New Roman" w:hAnsi="Arial" w:cs="Arial"/>
          <w:szCs w:val="24"/>
          <w:lang w:val="en-US"/>
        </w:rPr>
        <w:t>287</w:t>
      </w:r>
      <w:r w:rsidRPr="00C85F24">
        <w:rPr>
          <w:rFonts w:ascii="Arial" w:eastAsia="Times New Roman" w:hAnsi="Arial" w:cs="Arial"/>
          <w:szCs w:val="24"/>
          <w:lang w:val="en-US"/>
        </w:rPr>
        <w:t xml:space="preserve"> </w:t>
      </w:r>
      <w:r w:rsidR="003A0F8B">
        <w:rPr>
          <w:rFonts w:ascii="Arial" w:eastAsia="Times New Roman" w:hAnsi="Arial" w:cs="Arial"/>
          <w:szCs w:val="24"/>
          <w:lang w:val="en-US"/>
        </w:rPr>
        <w:t>FY</w:t>
      </w:r>
      <w:r w:rsidRPr="00C85F24">
        <w:rPr>
          <w:rFonts w:ascii="Arial" w:eastAsia="Times New Roman" w:hAnsi="Arial" w:cs="Arial"/>
          <w:szCs w:val="24"/>
          <w:lang w:val="en-US"/>
        </w:rPr>
        <w:t>24) resulted in £</w:t>
      </w:r>
      <w:r w:rsidR="005F29C3">
        <w:rPr>
          <w:rFonts w:ascii="Arial" w:eastAsia="Times New Roman" w:hAnsi="Arial" w:cs="Arial"/>
          <w:szCs w:val="24"/>
          <w:lang w:val="en-US"/>
        </w:rPr>
        <w:t>7.6</w:t>
      </w:r>
      <w:r w:rsidRPr="00C85F24">
        <w:rPr>
          <w:rFonts w:ascii="Arial" w:eastAsia="Times New Roman" w:hAnsi="Arial" w:cs="Arial"/>
          <w:szCs w:val="24"/>
          <w:lang w:val="en-US"/>
        </w:rPr>
        <w:t xml:space="preserve">m increase in </w:t>
      </w:r>
      <w:r w:rsidR="007856E1">
        <w:rPr>
          <w:rFonts w:ascii="Arial" w:eastAsia="Times New Roman" w:hAnsi="Arial" w:cs="Arial"/>
          <w:szCs w:val="24"/>
          <w:lang w:val="en-US"/>
        </w:rPr>
        <w:t xml:space="preserve">first tranche </w:t>
      </w:r>
      <w:r w:rsidR="00D32D0A">
        <w:rPr>
          <w:rFonts w:ascii="Arial" w:eastAsia="Times New Roman" w:hAnsi="Arial" w:cs="Arial"/>
          <w:szCs w:val="24"/>
          <w:lang w:val="en-US"/>
        </w:rPr>
        <w:t xml:space="preserve">sales </w:t>
      </w:r>
      <w:r w:rsidRPr="00C85F24">
        <w:rPr>
          <w:rFonts w:ascii="Arial" w:eastAsia="Times New Roman" w:hAnsi="Arial" w:cs="Arial"/>
          <w:szCs w:val="24"/>
          <w:lang w:val="en-US"/>
        </w:rPr>
        <w:t xml:space="preserve">revenue year-on-year  </w:t>
      </w:r>
    </w:p>
    <w:bookmarkEnd w:id="0"/>
    <w:p w14:paraId="60B3F6C1" w14:textId="49CEEA12" w:rsidR="007F5116" w:rsidRPr="007F5116" w:rsidRDefault="007F5116" w:rsidP="007F5116">
      <w:pPr>
        <w:pStyle w:val="ListParagraph"/>
        <w:numPr>
          <w:ilvl w:val="1"/>
          <w:numId w:val="1"/>
        </w:numPr>
        <w:spacing w:before="120" w:after="120" w:line="240" w:lineRule="auto"/>
        <w:rPr>
          <w:rFonts w:ascii="Arial" w:hAnsi="Arial" w:cs="Arial"/>
        </w:rPr>
      </w:pPr>
      <w:r w:rsidRPr="007F5116">
        <w:rPr>
          <w:rFonts w:ascii="Arial" w:hAnsi="Arial" w:cs="Arial"/>
          <w:bCs/>
        </w:rPr>
        <w:t xml:space="preserve">Underlying </w:t>
      </w:r>
      <w:r w:rsidR="000D6235">
        <w:rPr>
          <w:rFonts w:ascii="Arial" w:hAnsi="Arial" w:cs="Arial"/>
          <w:bCs/>
        </w:rPr>
        <w:t>o</w:t>
      </w:r>
      <w:r w:rsidR="00C85F24" w:rsidRPr="007F5116">
        <w:rPr>
          <w:rFonts w:ascii="Arial" w:hAnsi="Arial" w:cs="Arial"/>
          <w:bCs/>
        </w:rPr>
        <w:t>perating surplus £</w:t>
      </w:r>
      <w:r w:rsidR="003A0F8B" w:rsidRPr="007F5116">
        <w:rPr>
          <w:rFonts w:ascii="Arial" w:hAnsi="Arial" w:cs="Arial"/>
          <w:bCs/>
        </w:rPr>
        <w:t>148</w:t>
      </w:r>
      <w:r w:rsidR="00C85F24" w:rsidRPr="007F5116">
        <w:rPr>
          <w:rFonts w:ascii="Arial" w:hAnsi="Arial" w:cs="Arial"/>
          <w:bCs/>
        </w:rPr>
        <w:t>m (</w:t>
      </w:r>
      <w:r w:rsidR="003A0F8B" w:rsidRPr="007F5116">
        <w:rPr>
          <w:rFonts w:ascii="Arial" w:hAnsi="Arial" w:cs="Arial"/>
          <w:bCs/>
        </w:rPr>
        <w:t>FY</w:t>
      </w:r>
      <w:r w:rsidR="00B9665A" w:rsidRPr="007F5116">
        <w:rPr>
          <w:rFonts w:ascii="Arial" w:hAnsi="Arial" w:cs="Arial"/>
          <w:bCs/>
        </w:rPr>
        <w:t>2</w:t>
      </w:r>
      <w:r w:rsidR="00B81495" w:rsidRPr="007F5116">
        <w:rPr>
          <w:rFonts w:ascii="Arial" w:hAnsi="Arial" w:cs="Arial"/>
          <w:bCs/>
        </w:rPr>
        <w:t>4</w:t>
      </w:r>
      <w:r w:rsidR="00A5638F">
        <w:rPr>
          <w:rFonts w:ascii="Arial" w:hAnsi="Arial" w:cs="Arial"/>
          <w:bCs/>
        </w:rPr>
        <w:t>:</w:t>
      </w:r>
      <w:r w:rsidR="00C85F24" w:rsidRPr="007F5116">
        <w:rPr>
          <w:rFonts w:ascii="Arial" w:hAnsi="Arial" w:cs="Arial"/>
          <w:bCs/>
        </w:rPr>
        <w:t xml:space="preserve"> £</w:t>
      </w:r>
      <w:r w:rsidR="003A0F8B" w:rsidRPr="007F5116">
        <w:rPr>
          <w:rFonts w:ascii="Arial" w:hAnsi="Arial" w:cs="Arial"/>
          <w:bCs/>
        </w:rPr>
        <w:t>12</w:t>
      </w:r>
      <w:r w:rsidR="006E4821" w:rsidRPr="007F5116">
        <w:rPr>
          <w:rFonts w:ascii="Arial" w:hAnsi="Arial" w:cs="Arial"/>
          <w:bCs/>
        </w:rPr>
        <w:t>7</w:t>
      </w:r>
      <w:r w:rsidR="00C85F24" w:rsidRPr="007F5116">
        <w:rPr>
          <w:rFonts w:ascii="Arial" w:hAnsi="Arial" w:cs="Arial"/>
          <w:bCs/>
        </w:rPr>
        <w:t>m)</w:t>
      </w:r>
    </w:p>
    <w:p w14:paraId="4263FB27" w14:textId="4262BB30" w:rsidR="007F5116" w:rsidRPr="007F5116" w:rsidRDefault="00C85F24" w:rsidP="007F5116">
      <w:pPr>
        <w:pStyle w:val="ListParagraph"/>
        <w:spacing w:before="120" w:after="120" w:line="240" w:lineRule="auto"/>
        <w:ind w:left="1440"/>
        <w:rPr>
          <w:rFonts w:ascii="Arial" w:hAnsi="Arial" w:cs="Arial"/>
        </w:rPr>
      </w:pPr>
      <w:r w:rsidRPr="007F5116">
        <w:rPr>
          <w:rFonts w:ascii="Arial" w:hAnsi="Arial" w:cs="Arial"/>
          <w:bCs/>
        </w:rPr>
        <w:t xml:space="preserve"> </w:t>
      </w:r>
    </w:p>
    <w:p w14:paraId="728918AB" w14:textId="0A0EB8EF" w:rsidR="00792CD9" w:rsidRPr="007F5116" w:rsidRDefault="00A4019D" w:rsidP="00415DEE">
      <w:pPr>
        <w:pStyle w:val="ListParagraph"/>
        <w:numPr>
          <w:ilvl w:val="0"/>
          <w:numId w:val="5"/>
        </w:numPr>
        <w:spacing w:before="120" w:after="120" w:line="240" w:lineRule="auto"/>
        <w:ind w:left="2171" w:hanging="357"/>
        <w:contextualSpacing w:val="0"/>
        <w:rPr>
          <w:rFonts w:ascii="Arial" w:hAnsi="Arial" w:cs="Arial"/>
        </w:rPr>
      </w:pPr>
      <w:r>
        <w:rPr>
          <w:rFonts w:ascii="Arial" w:hAnsi="Arial" w:cs="Arial"/>
        </w:rPr>
        <w:t xml:space="preserve">Adjusted </w:t>
      </w:r>
      <w:r w:rsidR="000D6235">
        <w:rPr>
          <w:rFonts w:ascii="Arial" w:hAnsi="Arial" w:cs="Arial"/>
        </w:rPr>
        <w:t>o</w:t>
      </w:r>
      <w:r w:rsidR="00C85F24" w:rsidRPr="007F5116">
        <w:rPr>
          <w:rFonts w:ascii="Arial" w:hAnsi="Arial" w:cs="Arial"/>
        </w:rPr>
        <w:t xml:space="preserve">perating margin </w:t>
      </w:r>
      <w:r w:rsidR="00792CD9" w:rsidRPr="007F5116">
        <w:rPr>
          <w:rFonts w:ascii="Arial" w:hAnsi="Arial" w:cs="Arial"/>
        </w:rPr>
        <w:t>3</w:t>
      </w:r>
      <w:r w:rsidR="00A829DF">
        <w:rPr>
          <w:rFonts w:ascii="Arial" w:hAnsi="Arial" w:cs="Arial"/>
        </w:rPr>
        <w:t>3</w:t>
      </w:r>
      <w:r w:rsidR="00C85F24" w:rsidRPr="007F5116">
        <w:rPr>
          <w:rFonts w:ascii="Arial" w:hAnsi="Arial" w:cs="Arial"/>
        </w:rPr>
        <w:t>% (</w:t>
      </w:r>
      <w:r w:rsidR="003A0F8B" w:rsidRPr="007F5116">
        <w:rPr>
          <w:rFonts w:ascii="Arial" w:hAnsi="Arial" w:cs="Arial"/>
        </w:rPr>
        <w:t>FY</w:t>
      </w:r>
      <w:r w:rsidR="00C85F24" w:rsidRPr="007F5116">
        <w:rPr>
          <w:rFonts w:ascii="Arial" w:hAnsi="Arial" w:cs="Arial"/>
        </w:rPr>
        <w:t>24</w:t>
      </w:r>
      <w:r w:rsidR="00A5638F">
        <w:rPr>
          <w:rFonts w:ascii="Arial" w:hAnsi="Arial" w:cs="Arial"/>
        </w:rPr>
        <w:t>:</w:t>
      </w:r>
      <w:r w:rsidR="00C85F24" w:rsidRPr="007F5116">
        <w:rPr>
          <w:rFonts w:ascii="Arial" w:hAnsi="Arial" w:cs="Arial"/>
        </w:rPr>
        <w:t xml:space="preserve"> 3</w:t>
      </w:r>
      <w:r w:rsidR="003A0F8B" w:rsidRPr="007F5116">
        <w:rPr>
          <w:rFonts w:ascii="Arial" w:hAnsi="Arial" w:cs="Arial"/>
        </w:rPr>
        <w:t>0</w:t>
      </w:r>
      <w:r w:rsidR="00C85F24" w:rsidRPr="007F5116">
        <w:rPr>
          <w:rFonts w:ascii="Arial" w:hAnsi="Arial" w:cs="Arial"/>
        </w:rPr>
        <w:t>%)</w:t>
      </w:r>
    </w:p>
    <w:p w14:paraId="76930E45" w14:textId="7129AF88" w:rsidR="00C85F24" w:rsidRPr="00C85F24" w:rsidRDefault="00792CD9" w:rsidP="00415DEE">
      <w:pPr>
        <w:pStyle w:val="ListParagraph"/>
        <w:numPr>
          <w:ilvl w:val="0"/>
          <w:numId w:val="5"/>
        </w:numPr>
        <w:spacing w:before="120" w:after="120" w:line="240" w:lineRule="auto"/>
        <w:ind w:left="2171" w:hanging="357"/>
        <w:contextualSpacing w:val="0"/>
        <w:rPr>
          <w:rFonts w:ascii="Arial" w:hAnsi="Arial" w:cs="Arial"/>
        </w:rPr>
      </w:pPr>
      <w:r>
        <w:rPr>
          <w:rFonts w:ascii="Arial" w:hAnsi="Arial" w:cs="Arial"/>
        </w:rPr>
        <w:t>Operating margin 3</w:t>
      </w:r>
      <w:r w:rsidR="00A829DF">
        <w:rPr>
          <w:rFonts w:ascii="Arial" w:hAnsi="Arial" w:cs="Arial"/>
        </w:rPr>
        <w:t>0</w:t>
      </w:r>
      <w:r>
        <w:rPr>
          <w:rFonts w:ascii="Arial" w:hAnsi="Arial" w:cs="Arial"/>
        </w:rPr>
        <w:t>% (FY24</w:t>
      </w:r>
      <w:r w:rsidR="00A5638F">
        <w:rPr>
          <w:rFonts w:ascii="Arial" w:hAnsi="Arial" w:cs="Arial"/>
        </w:rPr>
        <w:t>:</w:t>
      </w:r>
      <w:r w:rsidR="006E4821">
        <w:rPr>
          <w:rFonts w:ascii="Arial" w:hAnsi="Arial" w:cs="Arial"/>
        </w:rPr>
        <w:t xml:space="preserve"> </w:t>
      </w:r>
      <w:r>
        <w:rPr>
          <w:rFonts w:ascii="Arial" w:hAnsi="Arial" w:cs="Arial"/>
        </w:rPr>
        <w:t>4%)</w:t>
      </w:r>
      <w:r w:rsidR="00C85F24" w:rsidRPr="00C85F24">
        <w:rPr>
          <w:rFonts w:ascii="Arial" w:hAnsi="Arial" w:cs="Arial"/>
        </w:rPr>
        <w:t xml:space="preserve">  </w:t>
      </w:r>
    </w:p>
    <w:p w14:paraId="02977178" w14:textId="71D94ECF" w:rsidR="00C85F24" w:rsidRPr="00972C46" w:rsidRDefault="002F5FFF" w:rsidP="00415DEE">
      <w:pPr>
        <w:pStyle w:val="ListParagraph"/>
        <w:numPr>
          <w:ilvl w:val="0"/>
          <w:numId w:val="5"/>
        </w:numPr>
        <w:spacing w:before="120" w:after="120" w:line="240" w:lineRule="auto"/>
        <w:ind w:left="2171" w:hanging="357"/>
        <w:contextualSpacing w:val="0"/>
        <w:rPr>
          <w:rFonts w:ascii="Arial" w:hAnsi="Arial" w:cs="Arial"/>
          <w:bCs/>
        </w:rPr>
      </w:pPr>
      <w:r>
        <w:rPr>
          <w:rFonts w:ascii="Arial" w:hAnsi="Arial" w:cs="Arial"/>
          <w:bCs/>
        </w:rPr>
        <w:t>Operating</w:t>
      </w:r>
      <w:r w:rsidRPr="00C85F24">
        <w:rPr>
          <w:rFonts w:ascii="Arial" w:hAnsi="Arial" w:cs="Arial"/>
          <w:bCs/>
        </w:rPr>
        <w:t xml:space="preserve"> </w:t>
      </w:r>
      <w:r w:rsidR="00C85F24" w:rsidRPr="00C85F24">
        <w:rPr>
          <w:rFonts w:ascii="Arial" w:hAnsi="Arial" w:cs="Arial"/>
          <w:bCs/>
        </w:rPr>
        <w:t>surplus</w:t>
      </w:r>
      <w:r w:rsidR="00694B7B">
        <w:rPr>
          <w:rFonts w:ascii="Arial" w:hAnsi="Arial" w:cs="Arial"/>
          <w:bCs/>
        </w:rPr>
        <w:t>*</w:t>
      </w:r>
      <w:r w:rsidR="00C85F24" w:rsidRPr="00C85F24">
        <w:rPr>
          <w:rFonts w:ascii="Arial" w:hAnsi="Arial" w:cs="Arial"/>
          <w:bCs/>
        </w:rPr>
        <w:t xml:space="preserve"> </w:t>
      </w:r>
      <w:r w:rsidR="00C85F24" w:rsidRPr="00C85F24">
        <w:rPr>
          <w:rFonts w:ascii="Arial" w:hAnsi="Arial" w:cs="Arial"/>
        </w:rPr>
        <w:t>£</w:t>
      </w:r>
      <w:r w:rsidR="003A0F8B">
        <w:rPr>
          <w:rFonts w:ascii="Arial" w:hAnsi="Arial" w:cs="Arial"/>
        </w:rPr>
        <w:t>1</w:t>
      </w:r>
      <w:r w:rsidR="00792CD9">
        <w:rPr>
          <w:rFonts w:ascii="Arial" w:hAnsi="Arial" w:cs="Arial"/>
        </w:rPr>
        <w:t>36</w:t>
      </w:r>
      <w:r w:rsidR="00C85F24" w:rsidRPr="00C85F24">
        <w:rPr>
          <w:rFonts w:ascii="Arial" w:hAnsi="Arial" w:cs="Arial"/>
        </w:rPr>
        <w:t>m (</w:t>
      </w:r>
      <w:r w:rsidR="003A0F8B">
        <w:rPr>
          <w:rFonts w:ascii="Arial" w:hAnsi="Arial" w:cs="Arial"/>
        </w:rPr>
        <w:t>FY</w:t>
      </w:r>
      <w:r w:rsidR="00C85F24" w:rsidRPr="00C85F24">
        <w:rPr>
          <w:rFonts w:ascii="Arial" w:hAnsi="Arial" w:cs="Arial"/>
        </w:rPr>
        <w:t>24: £</w:t>
      </w:r>
      <w:r w:rsidR="003A0F8B">
        <w:rPr>
          <w:rFonts w:ascii="Arial" w:hAnsi="Arial" w:cs="Arial"/>
        </w:rPr>
        <w:t>17</w:t>
      </w:r>
      <w:r w:rsidR="00C85F24" w:rsidRPr="00C85F24">
        <w:rPr>
          <w:rFonts w:ascii="Arial" w:hAnsi="Arial" w:cs="Arial"/>
        </w:rPr>
        <w:t>m)</w:t>
      </w:r>
    </w:p>
    <w:p w14:paraId="3FDA7AAE" w14:textId="0DFF47E9" w:rsidR="00972C46" w:rsidRPr="00972C46" w:rsidRDefault="00972C46" w:rsidP="00415DEE">
      <w:pPr>
        <w:pStyle w:val="ListParagraph"/>
        <w:numPr>
          <w:ilvl w:val="0"/>
          <w:numId w:val="5"/>
        </w:numPr>
        <w:spacing w:before="120" w:after="120" w:line="240" w:lineRule="auto"/>
        <w:ind w:left="2171" w:hanging="357"/>
        <w:contextualSpacing w:val="0"/>
        <w:rPr>
          <w:rFonts w:ascii="Arial" w:hAnsi="Arial" w:cs="Arial"/>
          <w:bCs/>
        </w:rPr>
      </w:pPr>
      <w:r w:rsidRPr="00972C46">
        <w:rPr>
          <w:rFonts w:ascii="Arial" w:hAnsi="Arial" w:cs="Arial"/>
          <w:bCs/>
        </w:rPr>
        <w:t>Surplus before tax £47.8m (2024: Loss before tax of £8</w:t>
      </w:r>
      <w:r w:rsidR="00A829DF">
        <w:rPr>
          <w:rFonts w:ascii="Arial" w:hAnsi="Arial" w:cs="Arial"/>
          <w:bCs/>
        </w:rPr>
        <w:t>0.3</w:t>
      </w:r>
      <w:r w:rsidRPr="00972C46">
        <w:rPr>
          <w:rFonts w:ascii="Arial" w:hAnsi="Arial" w:cs="Arial"/>
          <w:bCs/>
        </w:rPr>
        <w:t>m)</w:t>
      </w:r>
    </w:p>
    <w:p w14:paraId="0C646A34" w14:textId="2CD0FB22" w:rsidR="00C85F24" w:rsidRPr="00C85F24" w:rsidRDefault="00C85F24" w:rsidP="007F5116">
      <w:pPr>
        <w:pStyle w:val="ListParagraph"/>
        <w:numPr>
          <w:ilvl w:val="0"/>
          <w:numId w:val="1"/>
        </w:numPr>
        <w:spacing w:before="120" w:after="120" w:line="240" w:lineRule="auto"/>
        <w:ind w:left="1418" w:hanging="284"/>
        <w:contextualSpacing w:val="0"/>
        <w:rPr>
          <w:rFonts w:ascii="Arial" w:hAnsi="Arial" w:cs="Arial"/>
        </w:rPr>
      </w:pPr>
      <w:r w:rsidRPr="00C85F24">
        <w:rPr>
          <w:rFonts w:ascii="Arial" w:hAnsi="Arial" w:cs="Arial"/>
        </w:rPr>
        <w:t>Our development programme deliver</w:t>
      </w:r>
      <w:r w:rsidR="00471865">
        <w:rPr>
          <w:rFonts w:ascii="Arial" w:hAnsi="Arial" w:cs="Arial"/>
        </w:rPr>
        <w:t>ed</w:t>
      </w:r>
      <w:r w:rsidRPr="00C85F24">
        <w:rPr>
          <w:rFonts w:ascii="Arial" w:hAnsi="Arial" w:cs="Arial"/>
        </w:rPr>
        <w:t xml:space="preserve"> </w:t>
      </w:r>
      <w:r w:rsidR="00471865">
        <w:rPr>
          <w:rFonts w:ascii="Arial" w:hAnsi="Arial" w:cs="Arial"/>
        </w:rPr>
        <w:t xml:space="preserve">544 </w:t>
      </w:r>
      <w:r w:rsidRPr="00C85F24">
        <w:rPr>
          <w:rFonts w:ascii="Arial" w:hAnsi="Arial" w:cs="Arial"/>
        </w:rPr>
        <w:t>new homes in the full year through partnership projects such as Clapham Park</w:t>
      </w:r>
      <w:r w:rsidR="00471865">
        <w:rPr>
          <w:rFonts w:ascii="Arial" w:hAnsi="Arial" w:cs="Arial"/>
        </w:rPr>
        <w:t xml:space="preserve"> and Cambourne West</w:t>
      </w:r>
      <w:r w:rsidRPr="00C85F24">
        <w:rPr>
          <w:rFonts w:ascii="Arial" w:hAnsi="Arial" w:cs="Arial"/>
        </w:rPr>
        <w:t>.</w:t>
      </w:r>
      <w:r w:rsidR="00685089">
        <w:rPr>
          <w:rFonts w:ascii="Arial" w:hAnsi="Arial" w:cs="Arial"/>
        </w:rPr>
        <w:t xml:space="preserve"> </w:t>
      </w:r>
    </w:p>
    <w:p w14:paraId="45AC2854" w14:textId="568FE80F" w:rsidR="00685089" w:rsidRDefault="00562905" w:rsidP="00415DEE">
      <w:pPr>
        <w:pStyle w:val="ListParagraph"/>
        <w:numPr>
          <w:ilvl w:val="2"/>
          <w:numId w:val="1"/>
        </w:numPr>
        <w:spacing w:before="120" w:after="120" w:line="240" w:lineRule="auto"/>
        <w:ind w:left="2171" w:hanging="357"/>
        <w:contextualSpacing w:val="0"/>
        <w:rPr>
          <w:rFonts w:ascii="Arial" w:hAnsi="Arial" w:cs="Arial"/>
        </w:rPr>
      </w:pPr>
      <w:bookmarkStart w:id="1" w:name="_Hlk198732363"/>
      <w:r>
        <w:rPr>
          <w:rFonts w:ascii="Arial" w:hAnsi="Arial" w:cs="Arial"/>
        </w:rPr>
        <w:t>Value of a</w:t>
      </w:r>
      <w:r w:rsidR="00685089" w:rsidRPr="00EA520C">
        <w:rPr>
          <w:rFonts w:ascii="Arial" w:hAnsi="Arial" w:cs="Arial"/>
        </w:rPr>
        <w:t xml:space="preserve">ssets under construction </w:t>
      </w:r>
      <w:r w:rsidR="00685089">
        <w:rPr>
          <w:rFonts w:ascii="Arial" w:hAnsi="Arial" w:cs="Arial"/>
        </w:rPr>
        <w:t>totalled</w:t>
      </w:r>
      <w:r w:rsidR="00685089" w:rsidRPr="00EA520C">
        <w:rPr>
          <w:rFonts w:ascii="Arial" w:hAnsi="Arial" w:cs="Arial"/>
        </w:rPr>
        <w:t xml:space="preserve"> £626m (</w:t>
      </w:r>
      <w:r w:rsidR="00685089">
        <w:rPr>
          <w:rFonts w:ascii="Arial" w:hAnsi="Arial" w:cs="Arial"/>
        </w:rPr>
        <w:t>FY</w:t>
      </w:r>
      <w:r w:rsidR="00685089" w:rsidRPr="00EA520C">
        <w:rPr>
          <w:rFonts w:ascii="Arial" w:hAnsi="Arial" w:cs="Arial"/>
        </w:rPr>
        <w:t>24</w:t>
      </w:r>
      <w:r w:rsidR="00A5638F">
        <w:rPr>
          <w:rFonts w:ascii="Arial" w:hAnsi="Arial" w:cs="Arial"/>
        </w:rPr>
        <w:t>:</w:t>
      </w:r>
      <w:r w:rsidR="00685089" w:rsidRPr="00EA520C">
        <w:rPr>
          <w:rFonts w:ascii="Arial" w:hAnsi="Arial" w:cs="Arial"/>
        </w:rPr>
        <w:t xml:space="preserve"> £419m) </w:t>
      </w:r>
    </w:p>
    <w:p w14:paraId="71A44D6F" w14:textId="4972F006" w:rsidR="00C85F24" w:rsidRPr="00C85F24" w:rsidRDefault="00C85F24" w:rsidP="00415DEE">
      <w:pPr>
        <w:pStyle w:val="ListParagraph"/>
        <w:numPr>
          <w:ilvl w:val="2"/>
          <w:numId w:val="1"/>
        </w:numPr>
        <w:spacing w:before="120" w:after="120" w:line="240" w:lineRule="auto"/>
        <w:ind w:left="2171" w:hanging="357"/>
        <w:contextualSpacing w:val="0"/>
        <w:rPr>
          <w:rFonts w:ascii="Arial" w:hAnsi="Arial" w:cs="Arial"/>
        </w:rPr>
      </w:pPr>
      <w:r w:rsidRPr="00C85F24">
        <w:rPr>
          <w:rFonts w:ascii="Arial" w:hAnsi="Arial" w:cs="Arial"/>
        </w:rPr>
        <w:t xml:space="preserve">Sales of </w:t>
      </w:r>
      <w:r w:rsidR="005F29C3">
        <w:rPr>
          <w:rFonts w:ascii="Arial" w:hAnsi="Arial" w:cs="Arial"/>
        </w:rPr>
        <w:t>289</w:t>
      </w:r>
      <w:r w:rsidRPr="00C85F24">
        <w:rPr>
          <w:rFonts w:ascii="Arial" w:hAnsi="Arial" w:cs="Arial"/>
        </w:rPr>
        <w:t xml:space="preserve"> units completed (</w:t>
      </w:r>
      <w:r w:rsidR="00471865">
        <w:rPr>
          <w:rFonts w:ascii="Arial" w:hAnsi="Arial" w:cs="Arial"/>
        </w:rPr>
        <w:t>FY</w:t>
      </w:r>
      <w:r w:rsidRPr="00C85F24">
        <w:rPr>
          <w:rFonts w:ascii="Arial" w:hAnsi="Arial" w:cs="Arial"/>
        </w:rPr>
        <w:t>24</w:t>
      </w:r>
      <w:r w:rsidR="00A5638F">
        <w:rPr>
          <w:rFonts w:ascii="Arial" w:hAnsi="Arial" w:cs="Arial"/>
        </w:rPr>
        <w:t>:</w:t>
      </w:r>
      <w:r w:rsidRPr="00C85F24">
        <w:rPr>
          <w:rFonts w:ascii="Arial" w:hAnsi="Arial" w:cs="Arial"/>
        </w:rPr>
        <w:t xml:space="preserve"> </w:t>
      </w:r>
      <w:r w:rsidR="00763A0B">
        <w:rPr>
          <w:rFonts w:ascii="Arial" w:hAnsi="Arial" w:cs="Arial"/>
        </w:rPr>
        <w:t>287</w:t>
      </w:r>
      <w:r w:rsidRPr="00C85F24">
        <w:rPr>
          <w:rFonts w:ascii="Arial" w:hAnsi="Arial" w:cs="Arial"/>
        </w:rPr>
        <w:t>)</w:t>
      </w:r>
    </w:p>
    <w:bookmarkEnd w:id="1"/>
    <w:p w14:paraId="57CB55EC" w14:textId="77777777" w:rsidR="00145395" w:rsidRDefault="00145395" w:rsidP="00145395">
      <w:pPr>
        <w:pStyle w:val="ListParagraph"/>
        <w:numPr>
          <w:ilvl w:val="1"/>
          <w:numId w:val="1"/>
        </w:numPr>
        <w:spacing w:before="120" w:after="120" w:line="240" w:lineRule="auto"/>
        <w:ind w:left="1418" w:hanging="284"/>
        <w:contextualSpacing w:val="0"/>
        <w:rPr>
          <w:rFonts w:ascii="Arial" w:hAnsi="Arial" w:cs="Arial"/>
        </w:rPr>
      </w:pPr>
      <w:r>
        <w:rPr>
          <w:rFonts w:ascii="Arial" w:hAnsi="Arial" w:cs="Arial"/>
        </w:rPr>
        <w:t>Investment in our residents’ homes</w:t>
      </w:r>
    </w:p>
    <w:p w14:paraId="2EAC1760" w14:textId="78DD786F" w:rsidR="00145395" w:rsidRDefault="00145395" w:rsidP="00415DEE">
      <w:pPr>
        <w:pStyle w:val="ListParagraph"/>
        <w:numPr>
          <w:ilvl w:val="2"/>
          <w:numId w:val="1"/>
        </w:numPr>
        <w:spacing w:before="120" w:after="120" w:line="240" w:lineRule="auto"/>
        <w:ind w:left="2171" w:hanging="357"/>
        <w:contextualSpacing w:val="0"/>
        <w:rPr>
          <w:rFonts w:ascii="Arial" w:hAnsi="Arial" w:cs="Arial"/>
        </w:rPr>
      </w:pPr>
      <w:r>
        <w:rPr>
          <w:rFonts w:ascii="Arial" w:hAnsi="Arial" w:cs="Arial"/>
        </w:rPr>
        <w:t>Capitalised improvement works to our estate</w:t>
      </w:r>
      <w:r w:rsidR="003F187B">
        <w:rPr>
          <w:rFonts w:ascii="Arial" w:hAnsi="Arial" w:cs="Arial"/>
        </w:rPr>
        <w:t xml:space="preserve"> £</w:t>
      </w:r>
      <w:r w:rsidR="004C61F7">
        <w:rPr>
          <w:rFonts w:ascii="Arial" w:hAnsi="Arial" w:cs="Arial"/>
        </w:rPr>
        <w:t>47.5</w:t>
      </w:r>
      <w:r w:rsidR="003F187B">
        <w:rPr>
          <w:rFonts w:ascii="Arial" w:hAnsi="Arial" w:cs="Arial"/>
        </w:rPr>
        <w:t>m (FY24</w:t>
      </w:r>
      <w:r w:rsidR="00A5638F">
        <w:rPr>
          <w:rFonts w:ascii="Arial" w:hAnsi="Arial" w:cs="Arial"/>
        </w:rPr>
        <w:t>:</w:t>
      </w:r>
      <w:r w:rsidR="003F187B">
        <w:rPr>
          <w:rFonts w:ascii="Arial" w:hAnsi="Arial" w:cs="Arial"/>
        </w:rPr>
        <w:t xml:space="preserve"> £</w:t>
      </w:r>
      <w:r w:rsidR="004C61F7">
        <w:rPr>
          <w:rFonts w:ascii="Arial" w:hAnsi="Arial" w:cs="Arial"/>
        </w:rPr>
        <w:t>33.0</w:t>
      </w:r>
      <w:r w:rsidR="003F187B">
        <w:rPr>
          <w:rFonts w:ascii="Arial" w:hAnsi="Arial" w:cs="Arial"/>
        </w:rPr>
        <w:t>m)</w:t>
      </w:r>
      <w:r>
        <w:rPr>
          <w:rFonts w:ascii="Arial" w:hAnsi="Arial" w:cs="Arial"/>
        </w:rPr>
        <w:t xml:space="preserve"> </w:t>
      </w:r>
    </w:p>
    <w:p w14:paraId="54138503" w14:textId="3C90BD90" w:rsidR="00C85F24" w:rsidRPr="00C85F24" w:rsidRDefault="00C85F24" w:rsidP="007F5116">
      <w:pPr>
        <w:pStyle w:val="ListParagraph"/>
        <w:numPr>
          <w:ilvl w:val="1"/>
          <w:numId w:val="1"/>
        </w:numPr>
        <w:spacing w:before="120" w:after="120" w:line="240" w:lineRule="auto"/>
        <w:ind w:left="1418" w:hanging="284"/>
        <w:contextualSpacing w:val="0"/>
        <w:rPr>
          <w:rFonts w:ascii="Arial" w:hAnsi="Arial" w:cs="Arial"/>
        </w:rPr>
      </w:pPr>
      <w:r w:rsidRPr="00C85F24">
        <w:rPr>
          <w:rFonts w:ascii="Arial" w:hAnsi="Arial" w:cs="Arial"/>
        </w:rPr>
        <w:t>£</w:t>
      </w:r>
      <w:r w:rsidR="009C2BF7">
        <w:rPr>
          <w:rFonts w:ascii="Arial" w:hAnsi="Arial" w:cs="Arial"/>
        </w:rPr>
        <w:t>723</w:t>
      </w:r>
      <w:r w:rsidRPr="00C85F24">
        <w:rPr>
          <w:rFonts w:ascii="Arial" w:hAnsi="Arial" w:cs="Arial"/>
        </w:rPr>
        <w:t>m (March 24: £846m) of available liquidity</w:t>
      </w:r>
    </w:p>
    <w:p w14:paraId="0BE2A161" w14:textId="4C2A274F" w:rsidR="00C85F24" w:rsidRPr="00C85F24" w:rsidRDefault="00C85F24" w:rsidP="007F5116">
      <w:pPr>
        <w:pStyle w:val="ListParagraph"/>
        <w:numPr>
          <w:ilvl w:val="1"/>
          <w:numId w:val="1"/>
        </w:numPr>
        <w:spacing w:before="120" w:after="120" w:line="240" w:lineRule="auto"/>
        <w:ind w:left="1418" w:hanging="284"/>
        <w:contextualSpacing w:val="0"/>
        <w:rPr>
          <w:rFonts w:ascii="Arial" w:hAnsi="Arial" w:cs="Arial"/>
        </w:rPr>
      </w:pPr>
      <w:r w:rsidRPr="00C85F24">
        <w:rPr>
          <w:rFonts w:ascii="Arial" w:hAnsi="Arial" w:cs="Arial"/>
        </w:rPr>
        <w:t xml:space="preserve">S&amp;P Group rating of A- (Stable outlook), </w:t>
      </w:r>
      <w:r w:rsidR="00471865">
        <w:rPr>
          <w:rFonts w:ascii="Arial" w:hAnsi="Arial" w:cs="Arial"/>
        </w:rPr>
        <w:t xml:space="preserve">unchanged </w:t>
      </w:r>
      <w:r w:rsidRPr="00C85F24">
        <w:rPr>
          <w:rFonts w:ascii="Arial" w:hAnsi="Arial" w:cs="Arial"/>
        </w:rPr>
        <w:t xml:space="preserve">following the MTVH Rating Review in December </w:t>
      </w:r>
      <w:r w:rsidR="008C130C">
        <w:rPr>
          <w:rFonts w:ascii="Arial" w:hAnsi="Arial" w:cs="Arial"/>
        </w:rPr>
        <w:t>20</w:t>
      </w:r>
      <w:r w:rsidRPr="00C85F24">
        <w:rPr>
          <w:rFonts w:ascii="Arial" w:hAnsi="Arial" w:cs="Arial"/>
        </w:rPr>
        <w:t>2</w:t>
      </w:r>
      <w:r w:rsidR="00471865">
        <w:rPr>
          <w:rFonts w:ascii="Arial" w:hAnsi="Arial" w:cs="Arial"/>
        </w:rPr>
        <w:t xml:space="preserve">4, and </w:t>
      </w:r>
      <w:r w:rsidR="007037E1">
        <w:rPr>
          <w:rFonts w:ascii="Arial" w:hAnsi="Arial" w:cs="Arial"/>
        </w:rPr>
        <w:t xml:space="preserve">the </w:t>
      </w:r>
      <w:r w:rsidR="00471865">
        <w:rPr>
          <w:rFonts w:ascii="Arial" w:hAnsi="Arial" w:cs="Arial"/>
        </w:rPr>
        <w:t>change to the corporate structure 31 December 2024</w:t>
      </w:r>
      <w:r w:rsidR="007037E1">
        <w:rPr>
          <w:rFonts w:ascii="Arial" w:hAnsi="Arial" w:cs="Arial"/>
        </w:rPr>
        <w:t>,</w:t>
      </w:r>
      <w:r w:rsidR="00471865">
        <w:rPr>
          <w:rFonts w:ascii="Arial" w:hAnsi="Arial" w:cs="Arial"/>
        </w:rPr>
        <w:t xml:space="preserve"> making MHT the group parent</w:t>
      </w:r>
      <w:r w:rsidR="007037E1">
        <w:rPr>
          <w:rFonts w:ascii="Arial" w:hAnsi="Arial" w:cs="Arial"/>
        </w:rPr>
        <w:t>.</w:t>
      </w:r>
    </w:p>
    <w:p w14:paraId="1055BF30" w14:textId="58DD6C80" w:rsidR="00C85F24" w:rsidRPr="00C85F24" w:rsidRDefault="00C85F24" w:rsidP="007F5116">
      <w:pPr>
        <w:pStyle w:val="ListParagraph"/>
        <w:numPr>
          <w:ilvl w:val="1"/>
          <w:numId w:val="1"/>
        </w:numPr>
        <w:spacing w:before="120" w:after="120" w:line="240" w:lineRule="auto"/>
        <w:ind w:left="1418" w:hanging="284"/>
        <w:contextualSpacing w:val="0"/>
        <w:rPr>
          <w:rFonts w:ascii="Arial" w:hAnsi="Arial" w:cs="Arial"/>
        </w:rPr>
      </w:pPr>
      <w:r w:rsidRPr="00C85F24">
        <w:rPr>
          <w:rFonts w:ascii="Arial" w:hAnsi="Arial" w:cs="Arial"/>
          <w:szCs w:val="24"/>
        </w:rPr>
        <w:t xml:space="preserve">Fitch Ratings A- (Stable outlook) </w:t>
      </w:r>
      <w:r w:rsidR="00471865">
        <w:rPr>
          <w:rFonts w:ascii="Arial" w:hAnsi="Arial" w:cs="Arial"/>
          <w:szCs w:val="24"/>
        </w:rPr>
        <w:t>s</w:t>
      </w:r>
      <w:r w:rsidRPr="00C85F24">
        <w:rPr>
          <w:rFonts w:ascii="Arial" w:hAnsi="Arial" w:cs="Arial"/>
          <w:szCs w:val="24"/>
        </w:rPr>
        <w:t>in</w:t>
      </w:r>
      <w:r w:rsidR="00471865">
        <w:rPr>
          <w:rFonts w:ascii="Arial" w:hAnsi="Arial" w:cs="Arial"/>
          <w:szCs w:val="24"/>
        </w:rPr>
        <w:t>ce</w:t>
      </w:r>
      <w:r w:rsidRPr="00C85F24">
        <w:rPr>
          <w:rFonts w:ascii="Arial" w:hAnsi="Arial" w:cs="Arial"/>
          <w:szCs w:val="24"/>
        </w:rPr>
        <w:t xml:space="preserve"> September </w:t>
      </w:r>
      <w:r w:rsidR="008C130C">
        <w:rPr>
          <w:rFonts w:ascii="Arial" w:hAnsi="Arial" w:cs="Arial"/>
          <w:szCs w:val="24"/>
        </w:rPr>
        <w:t>20</w:t>
      </w:r>
      <w:r w:rsidRPr="00C85F24">
        <w:rPr>
          <w:rFonts w:ascii="Arial" w:hAnsi="Arial" w:cs="Arial"/>
          <w:szCs w:val="24"/>
        </w:rPr>
        <w:t>24.</w:t>
      </w:r>
    </w:p>
    <w:p w14:paraId="449449B6" w14:textId="77777777" w:rsidR="00C85F24" w:rsidRDefault="00C85F24" w:rsidP="007F5116">
      <w:pPr>
        <w:pStyle w:val="ListParagraph"/>
        <w:numPr>
          <w:ilvl w:val="1"/>
          <w:numId w:val="1"/>
        </w:numPr>
        <w:spacing w:before="120" w:after="120" w:line="240" w:lineRule="auto"/>
        <w:ind w:left="1418" w:hanging="284"/>
        <w:contextualSpacing w:val="0"/>
        <w:rPr>
          <w:rFonts w:ascii="Arial" w:hAnsi="Arial" w:cs="Arial"/>
        </w:rPr>
      </w:pPr>
      <w:r w:rsidRPr="00C85F24">
        <w:rPr>
          <w:rFonts w:ascii="Arial" w:hAnsi="Arial" w:cs="Arial"/>
        </w:rPr>
        <w:t xml:space="preserve">Ritterwald refreshed the Sustainable Housing Certification, moving MTVH up to Frontrunner for all criteria covering Social and Governance, and now Environmental criteria. </w:t>
      </w:r>
    </w:p>
    <w:p w14:paraId="0142E7D8" w14:textId="77777777" w:rsidR="007F5116" w:rsidRPr="00C85F24" w:rsidRDefault="007F5116" w:rsidP="007F5116">
      <w:pPr>
        <w:pStyle w:val="ListParagraph"/>
        <w:spacing w:before="120" w:after="120" w:line="240" w:lineRule="auto"/>
        <w:ind w:left="1418"/>
        <w:contextualSpacing w:val="0"/>
        <w:rPr>
          <w:rFonts w:ascii="Arial" w:hAnsi="Arial" w:cs="Arial"/>
        </w:rPr>
      </w:pPr>
    </w:p>
    <w:p w14:paraId="09B505A4" w14:textId="09FEB738" w:rsidR="00EE2067" w:rsidRPr="00685089" w:rsidRDefault="00EE2067" w:rsidP="00EE2067">
      <w:pPr>
        <w:pStyle w:val="Footer"/>
        <w:rPr>
          <w:sz w:val="20"/>
          <w:szCs w:val="20"/>
        </w:rPr>
      </w:pPr>
      <w:r w:rsidRPr="00685089">
        <w:rPr>
          <w:sz w:val="20"/>
          <w:szCs w:val="20"/>
        </w:rPr>
        <w:t xml:space="preserve">*As a not-for-profit Registered Provider our Total Surplus is re-invested to maintain existing homes and build more new homes </w:t>
      </w:r>
      <w:r w:rsidR="007856E1">
        <w:rPr>
          <w:sz w:val="20"/>
          <w:szCs w:val="20"/>
        </w:rPr>
        <w:t>.</w:t>
      </w:r>
      <w:r w:rsidRPr="00685089">
        <w:rPr>
          <w:sz w:val="20"/>
          <w:szCs w:val="20"/>
        </w:rPr>
        <w:t xml:space="preserve"> </w:t>
      </w:r>
    </w:p>
    <w:p w14:paraId="73FE9DF5" w14:textId="77777777" w:rsidR="007856E1" w:rsidRDefault="007856E1" w:rsidP="00C85F24">
      <w:pPr>
        <w:rPr>
          <w:rFonts w:ascii="Arial" w:hAnsi="Arial" w:cs="Arial"/>
          <w:szCs w:val="24"/>
        </w:rPr>
      </w:pPr>
    </w:p>
    <w:p w14:paraId="07DCAA94" w14:textId="78CD3887" w:rsidR="00C85F24" w:rsidRPr="00A829DF" w:rsidRDefault="00C85F24" w:rsidP="00C85F24">
      <w:pPr>
        <w:rPr>
          <w:rFonts w:ascii="Arial" w:hAnsi="Arial" w:cs="Arial"/>
        </w:rPr>
      </w:pPr>
      <w:r w:rsidRPr="00A829DF">
        <w:rPr>
          <w:rFonts w:ascii="Arial" w:hAnsi="Arial" w:cs="Arial"/>
        </w:rPr>
        <w:t xml:space="preserve">Mel Barrett, Chief Executive, commented: </w:t>
      </w:r>
    </w:p>
    <w:p w14:paraId="447E5D3D" w14:textId="77777777" w:rsidR="002D1B69" w:rsidRPr="00A829DF" w:rsidRDefault="002D1B69" w:rsidP="002D1B69">
      <w:pPr>
        <w:pStyle w:val="xmsonormal"/>
        <w:spacing w:before="120" w:after="120"/>
        <w:rPr>
          <w:rFonts w:ascii="Arial" w:hAnsi="Arial" w:cs="Arial"/>
          <w:i/>
          <w:iCs/>
          <w:color w:val="000000"/>
        </w:rPr>
      </w:pPr>
      <w:r w:rsidRPr="00A829DF">
        <w:rPr>
          <w:rFonts w:ascii="Arial" w:hAnsi="Arial" w:cs="Arial"/>
          <w:i/>
          <w:iCs/>
          <w:color w:val="000000"/>
        </w:rPr>
        <w:t xml:space="preserve">“I am pleased to announce another set of strong financial results for MTVH which underlines the resilience of our model and the performance of the team. This underlying financial strength allows us to meet the multiple demands of maintaining and improving existing homes, funding building safety remediation, delivering quality customer service while still developing the new affordable homes the country so desperately needs. </w:t>
      </w:r>
    </w:p>
    <w:p w14:paraId="3ECBC739" w14:textId="4E17EC65" w:rsidR="002D1B69" w:rsidRPr="00A829DF" w:rsidRDefault="002D1B69" w:rsidP="002D1B69">
      <w:pPr>
        <w:pStyle w:val="xmsonormal"/>
        <w:spacing w:before="120" w:after="120"/>
        <w:rPr>
          <w:rFonts w:ascii="Arial" w:hAnsi="Arial" w:cs="Arial"/>
          <w:i/>
          <w:iCs/>
          <w:color w:val="000000"/>
        </w:rPr>
      </w:pPr>
      <w:r w:rsidRPr="00A829DF">
        <w:rPr>
          <w:rFonts w:ascii="Arial" w:hAnsi="Arial" w:cs="Arial"/>
          <w:i/>
          <w:iCs/>
          <w:color w:val="000000"/>
        </w:rPr>
        <w:t xml:space="preserve">I am particularly proud of our efforts to develop and improve our Customer Voice Framework which provides residents with meaningful opportunities to influence the decisions we make. In the past year, residents have influenced the development of a new Customer Experience </w:t>
      </w:r>
      <w:r w:rsidRPr="00A829DF">
        <w:rPr>
          <w:rFonts w:ascii="Arial" w:hAnsi="Arial" w:cs="Arial"/>
          <w:i/>
          <w:iCs/>
          <w:color w:val="000000"/>
        </w:rPr>
        <w:lastRenderedPageBreak/>
        <w:t>strategy, customer communications, and the roll-out of our new CRM system all of which are significant steps in our journey to improve our services to our residents.</w:t>
      </w:r>
    </w:p>
    <w:p w14:paraId="2AA6BC49" w14:textId="6BDEC1E0" w:rsidR="002D1B69" w:rsidRPr="00A829DF" w:rsidRDefault="002D1B69" w:rsidP="002D1B69">
      <w:pPr>
        <w:pStyle w:val="xmsonormal"/>
        <w:spacing w:before="120" w:after="120"/>
        <w:rPr>
          <w:rFonts w:ascii="Arial" w:hAnsi="Arial" w:cs="Arial"/>
          <w:i/>
          <w:iCs/>
          <w:color w:val="000000"/>
        </w:rPr>
      </w:pPr>
      <w:r w:rsidRPr="00A829DF">
        <w:rPr>
          <w:rFonts w:ascii="Arial" w:hAnsi="Arial" w:cs="Arial"/>
          <w:i/>
          <w:iCs/>
          <w:color w:val="000000"/>
        </w:rPr>
        <w:t xml:space="preserve">In our residents’ communities we have continued to work with public sector and charity partners to create integrated systems of support that help residents to live well. The cost of living crisis continues for many of our residents and over the year </w:t>
      </w:r>
      <w:r w:rsidR="003E76FD">
        <w:rPr>
          <w:rFonts w:ascii="Arial" w:hAnsi="Arial" w:cs="Arial"/>
          <w:i/>
          <w:iCs/>
          <w:color w:val="000000"/>
        </w:rPr>
        <w:t>we</w:t>
      </w:r>
      <w:r w:rsidRPr="00A829DF">
        <w:rPr>
          <w:rFonts w:ascii="Arial" w:hAnsi="Arial" w:cs="Arial"/>
          <w:i/>
          <w:iCs/>
          <w:color w:val="000000"/>
        </w:rPr>
        <w:t xml:space="preserve"> delivered money advice that created financial savings of £3.4m for residents.</w:t>
      </w:r>
    </w:p>
    <w:p w14:paraId="5992098B" w14:textId="7DADF354" w:rsidR="002D1B69" w:rsidRPr="00A829DF" w:rsidRDefault="002D1B69" w:rsidP="002D1B69">
      <w:pPr>
        <w:pStyle w:val="xmsonormal"/>
        <w:spacing w:before="120" w:after="120"/>
        <w:rPr>
          <w:rFonts w:ascii="Arial" w:hAnsi="Arial" w:cs="Arial"/>
          <w:i/>
          <w:iCs/>
          <w:color w:val="000000"/>
        </w:rPr>
      </w:pPr>
      <w:r w:rsidRPr="00A829DF">
        <w:rPr>
          <w:rFonts w:ascii="Arial" w:hAnsi="Arial" w:cs="Arial"/>
          <w:i/>
          <w:iCs/>
          <w:color w:val="000000"/>
        </w:rPr>
        <w:t>Providing safe, warm and affordable homes is core to our purpose and the foundation on which people can build successful lives. Therefore, we remain ambitious to deliver new affordable homes and there are 4,970 homes in our 5-year development pipeline. Our financial performance in 2024/25 demonstrates successful delivery of the multi-tenure cross subsidy model with</w:t>
      </w:r>
      <w:r w:rsidR="00E40F39">
        <w:rPr>
          <w:rFonts w:ascii="Arial" w:hAnsi="Arial" w:cs="Arial"/>
          <w:i/>
          <w:iCs/>
          <w:color w:val="000000"/>
        </w:rPr>
        <w:t xml:space="preserve"> </w:t>
      </w:r>
      <w:r w:rsidR="004D291D">
        <w:rPr>
          <w:rFonts w:ascii="Arial" w:hAnsi="Arial" w:cs="Arial"/>
          <w:i/>
          <w:iCs/>
          <w:color w:val="000000"/>
        </w:rPr>
        <w:t>initial equity stakes in shared ownership homes</w:t>
      </w:r>
      <w:r w:rsidRPr="00A829DF">
        <w:rPr>
          <w:rFonts w:ascii="Arial" w:hAnsi="Arial" w:cs="Arial"/>
          <w:i/>
          <w:iCs/>
          <w:color w:val="000000"/>
        </w:rPr>
        <w:t xml:space="preserve">, along with our Shared Ownership staircasing, redemptions and surpluses derived from our Joint Venture partnerships, achieving more than £39m in operating surplus. This contributed significantly to our overall surplus that we reinvest into maintaining and building more affordable homes. </w:t>
      </w:r>
    </w:p>
    <w:p w14:paraId="52850F35" w14:textId="381AFB20" w:rsidR="002D1B69" w:rsidRPr="00A829DF" w:rsidRDefault="002D1B69" w:rsidP="002D1B69">
      <w:pPr>
        <w:pStyle w:val="xmsonormal"/>
        <w:rPr>
          <w:rFonts w:ascii="Arial" w:hAnsi="Arial" w:cs="Arial"/>
          <w:i/>
          <w:iCs/>
          <w:color w:val="000000"/>
        </w:rPr>
      </w:pPr>
      <w:r w:rsidRPr="00A829DF">
        <w:rPr>
          <w:rFonts w:ascii="Arial" w:hAnsi="Arial" w:cs="Arial"/>
          <w:i/>
          <w:iCs/>
          <w:color w:val="000000"/>
        </w:rPr>
        <w:t>This is my first set of full year results as Chief Executive of MTVH and I want to offer my thanks to the whole team for their effort and hard work to deliver for our residents over the past year. To build on these strong foundations and secure further sustainable success we are working on our corporate strategy for 2026 to 203</w:t>
      </w:r>
      <w:r w:rsidR="000D6235">
        <w:rPr>
          <w:rFonts w:ascii="Arial" w:hAnsi="Arial" w:cs="Arial"/>
          <w:i/>
          <w:iCs/>
          <w:color w:val="000000"/>
        </w:rPr>
        <w:t>1</w:t>
      </w:r>
      <w:r w:rsidRPr="00A829DF">
        <w:rPr>
          <w:rFonts w:ascii="Arial" w:hAnsi="Arial" w:cs="Arial"/>
          <w:i/>
          <w:iCs/>
          <w:color w:val="000000"/>
        </w:rPr>
        <w:t>. This new strategy will be informed through consultation with residents, colleagues and stakeholders and insights from our recent regulatory inspection. I am excited about what we can achieve in the future.”</w:t>
      </w:r>
    </w:p>
    <w:p w14:paraId="173A95CA" w14:textId="77777777" w:rsidR="00C85F24" w:rsidRPr="00C85F24" w:rsidRDefault="00C85F24" w:rsidP="00C85F24">
      <w:pPr>
        <w:pStyle w:val="xmsonormal"/>
        <w:rPr>
          <w:rFonts w:ascii="Arial" w:hAnsi="Arial" w:cs="Arial"/>
          <w:i/>
          <w:iCs/>
          <w:color w:val="000000"/>
          <w:sz w:val="24"/>
          <w:szCs w:val="24"/>
        </w:rPr>
      </w:pPr>
    </w:p>
    <w:p w14:paraId="30FCBEC5" w14:textId="716CDC27" w:rsidR="009A2533" w:rsidRDefault="009A2533" w:rsidP="00C85F24">
      <w:pPr>
        <w:pStyle w:val="xmsonormal"/>
        <w:rPr>
          <w:rFonts w:ascii="Arial" w:hAnsi="Arial" w:cs="Arial"/>
          <w:b/>
          <w:bCs/>
          <w:sz w:val="24"/>
          <w:szCs w:val="24"/>
        </w:rPr>
      </w:pPr>
      <w:r>
        <w:rPr>
          <w:rFonts w:ascii="Arial" w:hAnsi="Arial" w:cs="Arial"/>
          <w:b/>
          <w:bCs/>
          <w:sz w:val="24"/>
          <w:szCs w:val="24"/>
        </w:rPr>
        <w:t>Senior Management Changes</w:t>
      </w:r>
    </w:p>
    <w:p w14:paraId="4DD9E2FB" w14:textId="77777777" w:rsidR="009A2533" w:rsidRDefault="009A2533" w:rsidP="00C85F24">
      <w:pPr>
        <w:pStyle w:val="xmsonormal"/>
        <w:rPr>
          <w:rFonts w:ascii="Arial" w:hAnsi="Arial" w:cs="Arial"/>
          <w:b/>
          <w:bCs/>
          <w:sz w:val="24"/>
          <w:szCs w:val="24"/>
        </w:rPr>
      </w:pPr>
    </w:p>
    <w:p w14:paraId="13586C19" w14:textId="655E3A52" w:rsidR="009A2533" w:rsidRPr="00491025" w:rsidRDefault="009A2533" w:rsidP="00C85F24">
      <w:pPr>
        <w:pStyle w:val="xmsonormal"/>
        <w:rPr>
          <w:rFonts w:ascii="Arial" w:hAnsi="Arial" w:cs="Arial"/>
        </w:rPr>
      </w:pPr>
      <w:r w:rsidRPr="00491025">
        <w:rPr>
          <w:rFonts w:ascii="Arial" w:hAnsi="Arial" w:cs="Arial"/>
        </w:rPr>
        <w:t>In February we announced the retire</w:t>
      </w:r>
      <w:r w:rsidR="00491025">
        <w:rPr>
          <w:rFonts w:ascii="Arial" w:hAnsi="Arial" w:cs="Arial"/>
        </w:rPr>
        <w:t>ment</w:t>
      </w:r>
      <w:r w:rsidRPr="00491025">
        <w:rPr>
          <w:rFonts w:ascii="Arial" w:hAnsi="Arial" w:cs="Arial"/>
        </w:rPr>
        <w:t xml:space="preserve"> of our CFO, </w:t>
      </w:r>
      <w:r w:rsidR="00491025" w:rsidRPr="00491025">
        <w:rPr>
          <w:rFonts w:ascii="Arial" w:hAnsi="Arial" w:cs="Arial"/>
        </w:rPr>
        <w:t>Ian</w:t>
      </w:r>
      <w:r w:rsidRPr="00491025">
        <w:rPr>
          <w:rFonts w:ascii="Arial" w:hAnsi="Arial" w:cs="Arial"/>
        </w:rPr>
        <w:t xml:space="preserve"> Johnson, </w:t>
      </w:r>
      <w:r w:rsidR="00491025" w:rsidRPr="00491025">
        <w:rPr>
          <w:rFonts w:ascii="Arial" w:hAnsi="Arial" w:cs="Arial"/>
        </w:rPr>
        <w:t xml:space="preserve">later </w:t>
      </w:r>
      <w:r w:rsidR="00491025">
        <w:rPr>
          <w:rFonts w:ascii="Arial" w:hAnsi="Arial" w:cs="Arial"/>
        </w:rPr>
        <w:t>in the</w:t>
      </w:r>
      <w:r w:rsidR="00491025" w:rsidRPr="00491025">
        <w:rPr>
          <w:rFonts w:ascii="Arial" w:hAnsi="Arial" w:cs="Arial"/>
        </w:rPr>
        <w:t xml:space="preserve"> Autumn. The process for the selection of his replacement is well </w:t>
      </w:r>
      <w:r w:rsidR="00491025">
        <w:rPr>
          <w:rFonts w:ascii="Arial" w:hAnsi="Arial" w:cs="Arial"/>
        </w:rPr>
        <w:t>advanced</w:t>
      </w:r>
      <w:r w:rsidR="00491025" w:rsidRPr="00491025">
        <w:rPr>
          <w:rFonts w:ascii="Arial" w:hAnsi="Arial" w:cs="Arial"/>
        </w:rPr>
        <w:t xml:space="preserve"> and should be announced </w:t>
      </w:r>
      <w:r w:rsidR="00491025">
        <w:rPr>
          <w:rFonts w:ascii="Arial" w:hAnsi="Arial" w:cs="Arial"/>
        </w:rPr>
        <w:t>before the end of June 2025.</w:t>
      </w:r>
    </w:p>
    <w:p w14:paraId="36B96109" w14:textId="77777777" w:rsidR="00491025" w:rsidRDefault="00491025" w:rsidP="00C85F24">
      <w:pPr>
        <w:pStyle w:val="xmsonormal"/>
        <w:rPr>
          <w:rFonts w:ascii="Arial" w:hAnsi="Arial" w:cs="Arial"/>
          <w:b/>
          <w:bCs/>
          <w:sz w:val="24"/>
          <w:szCs w:val="24"/>
        </w:rPr>
      </w:pPr>
    </w:p>
    <w:p w14:paraId="3D911C8E" w14:textId="3C4824D2" w:rsidR="00C85F24" w:rsidRDefault="00404871" w:rsidP="00C85F24">
      <w:pPr>
        <w:pStyle w:val="xmsonormal"/>
        <w:rPr>
          <w:rFonts w:ascii="Arial" w:hAnsi="Arial" w:cs="Arial"/>
          <w:b/>
          <w:bCs/>
          <w:sz w:val="24"/>
          <w:szCs w:val="24"/>
        </w:rPr>
      </w:pPr>
      <w:r>
        <w:rPr>
          <w:rFonts w:ascii="Arial" w:hAnsi="Arial" w:cs="Arial"/>
          <w:b/>
          <w:bCs/>
          <w:sz w:val="24"/>
          <w:szCs w:val="24"/>
        </w:rPr>
        <w:t>Segmental performance</w:t>
      </w:r>
    </w:p>
    <w:p w14:paraId="5F114600" w14:textId="5198BE72" w:rsidR="00870ED1" w:rsidRDefault="00870ED1" w:rsidP="00C85F24">
      <w:pPr>
        <w:pStyle w:val="xmsonormal"/>
        <w:rPr>
          <w:rFonts w:ascii="Arial" w:hAnsi="Arial" w:cs="Arial"/>
          <w:b/>
          <w:bCs/>
          <w:sz w:val="24"/>
          <w:szCs w:val="24"/>
        </w:rPr>
      </w:pPr>
    </w:p>
    <w:p w14:paraId="6845245F" w14:textId="005E6F25" w:rsidR="00404871" w:rsidRDefault="00B84FD9" w:rsidP="00C85F24">
      <w:pPr>
        <w:pStyle w:val="xmsonormal"/>
        <w:rPr>
          <w:rFonts w:ascii="Arial" w:hAnsi="Arial" w:cs="Arial"/>
          <w:b/>
          <w:bCs/>
          <w:sz w:val="24"/>
          <w:szCs w:val="24"/>
        </w:rPr>
      </w:pPr>
      <w:r w:rsidRPr="00B84FD9">
        <w:rPr>
          <w:noProof/>
        </w:rPr>
        <w:drawing>
          <wp:inline distT="0" distB="0" distL="0" distR="0" wp14:anchorId="7DB76717" wp14:editId="799681F2">
            <wp:extent cx="5731510" cy="3473450"/>
            <wp:effectExtent l="0" t="0" r="2540" b="0"/>
            <wp:docPr id="4913710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473450"/>
                    </a:xfrm>
                    <a:prstGeom prst="rect">
                      <a:avLst/>
                    </a:prstGeom>
                    <a:noFill/>
                    <a:ln>
                      <a:noFill/>
                    </a:ln>
                  </pic:spPr>
                </pic:pic>
              </a:graphicData>
            </a:graphic>
          </wp:inline>
        </w:drawing>
      </w:r>
    </w:p>
    <w:p w14:paraId="4262C9E7" w14:textId="23A46D5E" w:rsidR="00C85F24" w:rsidRPr="00C85F24" w:rsidRDefault="00C85F24" w:rsidP="00C85F24">
      <w:pPr>
        <w:pStyle w:val="xmsonormal"/>
        <w:rPr>
          <w:rFonts w:ascii="Arial" w:hAnsi="Arial" w:cs="Arial"/>
          <w:sz w:val="24"/>
          <w:szCs w:val="24"/>
          <w:highlight w:val="yellow"/>
        </w:rPr>
      </w:pPr>
    </w:p>
    <w:p w14:paraId="7DA82D47" w14:textId="5AB42C19" w:rsidR="00C85F24" w:rsidRPr="00C85F24" w:rsidRDefault="00C85F24" w:rsidP="00C85F24">
      <w:pPr>
        <w:rPr>
          <w:rFonts w:ascii="Arial" w:hAnsi="Arial" w:cs="Arial"/>
          <w:b/>
          <w:szCs w:val="24"/>
        </w:rPr>
      </w:pPr>
      <w:r w:rsidRPr="00C85F24">
        <w:rPr>
          <w:rFonts w:ascii="Arial" w:hAnsi="Arial" w:cs="Arial"/>
          <w:b/>
          <w:szCs w:val="24"/>
        </w:rPr>
        <w:t xml:space="preserve">Trading overview </w:t>
      </w:r>
    </w:p>
    <w:p w14:paraId="5B1B8BAD" w14:textId="011F8D57" w:rsidR="00B46CB8" w:rsidRDefault="00C85F24" w:rsidP="00C85F24">
      <w:pPr>
        <w:spacing w:line="240" w:lineRule="auto"/>
        <w:rPr>
          <w:rFonts w:ascii="Arial" w:hAnsi="Arial" w:cs="Arial"/>
          <w:szCs w:val="24"/>
        </w:rPr>
      </w:pPr>
      <w:r w:rsidRPr="00C85F24">
        <w:rPr>
          <w:rFonts w:ascii="Arial" w:hAnsi="Arial" w:cs="Arial"/>
          <w:szCs w:val="24"/>
        </w:rPr>
        <w:t xml:space="preserve">Total revenue including home sales is c </w:t>
      </w:r>
      <w:r w:rsidR="003A230E">
        <w:rPr>
          <w:rFonts w:ascii="Arial" w:hAnsi="Arial" w:cs="Arial"/>
          <w:szCs w:val="24"/>
        </w:rPr>
        <w:t>7</w:t>
      </w:r>
      <w:r w:rsidRPr="00C85F24">
        <w:rPr>
          <w:rFonts w:ascii="Arial" w:hAnsi="Arial" w:cs="Arial"/>
          <w:szCs w:val="24"/>
        </w:rPr>
        <w:t xml:space="preserve">% higher than last year as a result of the 7.7% rent increases and higher sales revenues from First Tranche Sales. </w:t>
      </w:r>
      <w:r w:rsidR="00B46CB8" w:rsidRPr="00B46CB8">
        <w:rPr>
          <w:rFonts w:ascii="Arial" w:hAnsi="Arial" w:cs="Arial"/>
          <w:szCs w:val="24"/>
        </w:rPr>
        <w:t xml:space="preserve">Revenues from our other </w:t>
      </w:r>
      <w:r w:rsidR="00B46CB8" w:rsidRPr="00B46CB8">
        <w:rPr>
          <w:rFonts w:ascii="Arial" w:hAnsi="Arial" w:cs="Arial"/>
          <w:szCs w:val="24"/>
        </w:rPr>
        <w:lastRenderedPageBreak/>
        <w:t xml:space="preserve">operations, including Care &amp; Support and the market rent portfolio were </w:t>
      </w:r>
      <w:r w:rsidR="007C16AB">
        <w:rPr>
          <w:rFonts w:ascii="Arial" w:hAnsi="Arial" w:cs="Arial"/>
          <w:szCs w:val="24"/>
        </w:rPr>
        <w:t>slightly lower</w:t>
      </w:r>
      <w:r w:rsidR="00B46CB8" w:rsidRPr="00B46CB8">
        <w:rPr>
          <w:rFonts w:ascii="Arial" w:hAnsi="Arial" w:cs="Arial"/>
          <w:szCs w:val="24"/>
        </w:rPr>
        <w:t xml:space="preserve"> at £</w:t>
      </w:r>
      <w:r w:rsidR="007C16AB">
        <w:rPr>
          <w:rFonts w:ascii="Arial" w:hAnsi="Arial" w:cs="Arial"/>
          <w:szCs w:val="24"/>
        </w:rPr>
        <w:t>36</w:t>
      </w:r>
      <w:r w:rsidR="00B46CB8" w:rsidRPr="00B46CB8">
        <w:rPr>
          <w:rFonts w:ascii="Arial" w:hAnsi="Arial" w:cs="Arial"/>
          <w:szCs w:val="24"/>
        </w:rPr>
        <w:t>m (2024: £40m), owing mainly to development agency services growth</w:t>
      </w:r>
      <w:r w:rsidR="007C16AB">
        <w:rPr>
          <w:rFonts w:ascii="Arial" w:hAnsi="Arial" w:cs="Arial"/>
          <w:szCs w:val="24"/>
        </w:rPr>
        <w:t>, but</w:t>
      </w:r>
      <w:r w:rsidR="00B46CB8" w:rsidRPr="00B46CB8">
        <w:rPr>
          <w:rFonts w:ascii="Arial" w:hAnsi="Arial" w:cs="Arial"/>
          <w:szCs w:val="24"/>
        </w:rPr>
        <w:t xml:space="preserve"> offset by a withdrawal from some of our Care &amp; Support activity.</w:t>
      </w:r>
    </w:p>
    <w:p w14:paraId="58AA46B1" w14:textId="2D7D41F0" w:rsidR="00C85F24" w:rsidRPr="00C85F24" w:rsidRDefault="00C24C6A" w:rsidP="00C85F24">
      <w:pPr>
        <w:spacing w:line="240" w:lineRule="auto"/>
        <w:rPr>
          <w:rFonts w:ascii="Arial" w:hAnsi="Arial" w:cs="Arial"/>
          <w:szCs w:val="24"/>
        </w:rPr>
      </w:pPr>
      <w:r>
        <w:rPr>
          <w:rFonts w:ascii="Arial" w:hAnsi="Arial" w:cs="Arial"/>
          <w:szCs w:val="24"/>
        </w:rPr>
        <w:t>Total development surplus</w:t>
      </w:r>
      <w:r w:rsidR="00C85F24" w:rsidRPr="00C85F24">
        <w:rPr>
          <w:rFonts w:ascii="Arial" w:hAnsi="Arial" w:cs="Arial"/>
          <w:szCs w:val="24"/>
        </w:rPr>
        <w:t xml:space="preserve"> was </w:t>
      </w:r>
      <w:r w:rsidR="008411E2" w:rsidRPr="00C24C6A">
        <w:rPr>
          <w:rFonts w:ascii="Arial" w:hAnsi="Arial" w:cs="Arial"/>
          <w:szCs w:val="24"/>
        </w:rPr>
        <w:t>£</w:t>
      </w:r>
      <w:r w:rsidR="007C16AB" w:rsidRPr="00C24C6A">
        <w:rPr>
          <w:rFonts w:ascii="Arial" w:hAnsi="Arial" w:cs="Arial"/>
          <w:szCs w:val="24"/>
        </w:rPr>
        <w:t>46</w:t>
      </w:r>
      <w:r w:rsidR="008411E2" w:rsidRPr="00C24C6A">
        <w:rPr>
          <w:rFonts w:ascii="Arial" w:hAnsi="Arial" w:cs="Arial"/>
          <w:szCs w:val="24"/>
        </w:rPr>
        <w:t>m (FY24</w:t>
      </w:r>
      <w:r w:rsidR="007037E1" w:rsidRPr="00C24C6A">
        <w:rPr>
          <w:rFonts w:ascii="Arial" w:hAnsi="Arial" w:cs="Arial"/>
          <w:szCs w:val="24"/>
        </w:rPr>
        <w:t>:</w:t>
      </w:r>
      <w:r w:rsidR="008411E2" w:rsidRPr="00C24C6A">
        <w:rPr>
          <w:rFonts w:ascii="Arial" w:hAnsi="Arial" w:cs="Arial"/>
          <w:szCs w:val="24"/>
        </w:rPr>
        <w:t xml:space="preserve"> £</w:t>
      </w:r>
      <w:r w:rsidR="007C16AB" w:rsidRPr="00C24C6A">
        <w:rPr>
          <w:rFonts w:ascii="Arial" w:hAnsi="Arial" w:cs="Arial"/>
          <w:szCs w:val="24"/>
        </w:rPr>
        <w:t>54</w:t>
      </w:r>
      <w:r w:rsidR="008411E2" w:rsidRPr="00C24C6A">
        <w:rPr>
          <w:rFonts w:ascii="Arial" w:hAnsi="Arial" w:cs="Arial"/>
          <w:szCs w:val="24"/>
        </w:rPr>
        <w:t>m)</w:t>
      </w:r>
      <w:r w:rsidR="008411E2">
        <w:rPr>
          <w:rFonts w:ascii="Arial" w:hAnsi="Arial" w:cs="Arial"/>
          <w:szCs w:val="24"/>
        </w:rPr>
        <w:t xml:space="preserve"> </w:t>
      </w:r>
      <w:r w:rsidR="00C85F24" w:rsidRPr="00C85F24">
        <w:rPr>
          <w:rFonts w:ascii="Arial" w:hAnsi="Arial" w:cs="Arial"/>
          <w:szCs w:val="24"/>
        </w:rPr>
        <w:t xml:space="preserve">as we sold </w:t>
      </w:r>
      <w:r w:rsidR="005F29C3">
        <w:rPr>
          <w:rFonts w:ascii="Arial" w:hAnsi="Arial" w:cs="Arial"/>
          <w:szCs w:val="24"/>
        </w:rPr>
        <w:t>289</w:t>
      </w:r>
      <w:r w:rsidR="00C85F24" w:rsidRPr="00C85F24">
        <w:rPr>
          <w:rFonts w:ascii="Arial" w:hAnsi="Arial" w:cs="Arial"/>
          <w:szCs w:val="24"/>
        </w:rPr>
        <w:t xml:space="preserve"> units </w:t>
      </w:r>
      <w:r w:rsidR="005F29C3">
        <w:rPr>
          <w:rFonts w:ascii="Arial" w:hAnsi="Arial" w:cs="Arial"/>
          <w:szCs w:val="24"/>
        </w:rPr>
        <w:t xml:space="preserve">and </w:t>
      </w:r>
      <w:proofErr w:type="gramStart"/>
      <w:r w:rsidR="005F29C3">
        <w:rPr>
          <w:rFonts w:ascii="Arial" w:hAnsi="Arial" w:cs="Arial"/>
          <w:szCs w:val="24"/>
        </w:rPr>
        <w:t>at</w:t>
      </w:r>
      <w:proofErr w:type="gramEnd"/>
      <w:r w:rsidR="00C85F24" w:rsidRPr="00C85F24">
        <w:rPr>
          <w:rFonts w:ascii="Arial" w:hAnsi="Arial" w:cs="Arial"/>
          <w:szCs w:val="24"/>
        </w:rPr>
        <w:t xml:space="preserve"> 30 </w:t>
      </w:r>
      <w:r w:rsidR="000A10CE">
        <w:rPr>
          <w:rFonts w:ascii="Arial" w:hAnsi="Arial" w:cs="Arial"/>
          <w:szCs w:val="24"/>
        </w:rPr>
        <w:t>March 2025</w:t>
      </w:r>
      <w:r w:rsidR="00C85F24" w:rsidRPr="00C85F24">
        <w:rPr>
          <w:rFonts w:ascii="Arial" w:hAnsi="Arial" w:cs="Arial"/>
          <w:szCs w:val="24"/>
        </w:rPr>
        <w:t xml:space="preserve">, we had </w:t>
      </w:r>
      <w:r w:rsidR="005F29C3">
        <w:rPr>
          <w:rFonts w:ascii="Arial" w:hAnsi="Arial" w:cs="Arial"/>
          <w:szCs w:val="24"/>
        </w:rPr>
        <w:t>95</w:t>
      </w:r>
      <w:r w:rsidR="00C85F24" w:rsidRPr="00C85F24">
        <w:rPr>
          <w:rFonts w:ascii="Arial" w:hAnsi="Arial" w:cs="Arial"/>
          <w:szCs w:val="24"/>
        </w:rPr>
        <w:t xml:space="preserve"> unsold units, only </w:t>
      </w:r>
      <w:r w:rsidR="00F20DDC">
        <w:rPr>
          <w:rFonts w:ascii="Arial" w:hAnsi="Arial" w:cs="Arial"/>
          <w:szCs w:val="24"/>
        </w:rPr>
        <w:t>74</w:t>
      </w:r>
      <w:r w:rsidR="00C85F24" w:rsidRPr="00C85F24">
        <w:rPr>
          <w:rFonts w:ascii="Arial" w:hAnsi="Arial" w:cs="Arial"/>
          <w:szCs w:val="24"/>
        </w:rPr>
        <w:t xml:space="preserve"> are unsold over 90 days, with a sales value of £</w:t>
      </w:r>
      <w:r w:rsidR="000A10CE">
        <w:rPr>
          <w:rFonts w:ascii="Arial" w:hAnsi="Arial" w:cs="Arial"/>
          <w:szCs w:val="24"/>
        </w:rPr>
        <w:t>8.4m (FY24</w:t>
      </w:r>
      <w:r w:rsidR="007037E1">
        <w:rPr>
          <w:rFonts w:ascii="Arial" w:hAnsi="Arial" w:cs="Arial"/>
          <w:szCs w:val="24"/>
        </w:rPr>
        <w:t>:</w:t>
      </w:r>
      <w:r w:rsidR="000A10CE">
        <w:rPr>
          <w:rFonts w:ascii="Arial" w:hAnsi="Arial" w:cs="Arial"/>
          <w:szCs w:val="24"/>
        </w:rPr>
        <w:t xml:space="preserve"> £</w:t>
      </w:r>
      <w:r w:rsidR="00C85F24" w:rsidRPr="00C85F24">
        <w:rPr>
          <w:rFonts w:ascii="Arial" w:hAnsi="Arial" w:cs="Arial"/>
          <w:szCs w:val="24"/>
        </w:rPr>
        <w:t>5.8m</w:t>
      </w:r>
      <w:r w:rsidR="000A10CE">
        <w:rPr>
          <w:rFonts w:ascii="Arial" w:hAnsi="Arial" w:cs="Arial"/>
          <w:szCs w:val="24"/>
        </w:rPr>
        <w:t>)</w:t>
      </w:r>
      <w:r w:rsidR="00C85F24" w:rsidRPr="00C85F24">
        <w:rPr>
          <w:rFonts w:ascii="Arial" w:hAnsi="Arial" w:cs="Arial"/>
          <w:szCs w:val="24"/>
        </w:rPr>
        <w:t xml:space="preserve">. While sales are currently in line with expectations, we remain well-placed if the sales market </w:t>
      </w:r>
      <w:r w:rsidR="00B46CB8">
        <w:rPr>
          <w:rFonts w:ascii="Arial" w:hAnsi="Arial" w:cs="Arial"/>
          <w:szCs w:val="24"/>
        </w:rPr>
        <w:t>strengthens following reductions in interest rates</w:t>
      </w:r>
      <w:r w:rsidR="00C85F24" w:rsidRPr="00C85F24">
        <w:rPr>
          <w:rFonts w:ascii="Arial" w:hAnsi="Arial" w:cs="Arial"/>
          <w:szCs w:val="24"/>
        </w:rPr>
        <w:t>.</w:t>
      </w:r>
    </w:p>
    <w:p w14:paraId="1766E140" w14:textId="09877261" w:rsidR="00C85F24" w:rsidRPr="00C85F24" w:rsidRDefault="00C85F24" w:rsidP="00C85F24">
      <w:pPr>
        <w:spacing w:line="240" w:lineRule="auto"/>
        <w:rPr>
          <w:rFonts w:ascii="Arial" w:hAnsi="Arial" w:cs="Arial"/>
          <w:szCs w:val="24"/>
        </w:rPr>
      </w:pPr>
      <w:r w:rsidRPr="00C85F24">
        <w:rPr>
          <w:rFonts w:ascii="Arial" w:hAnsi="Arial" w:cs="Arial"/>
          <w:szCs w:val="24"/>
        </w:rPr>
        <w:t>Net surplus from rental operations (i</w:t>
      </w:r>
      <w:r w:rsidR="00804B65">
        <w:rPr>
          <w:rFonts w:ascii="Arial" w:hAnsi="Arial" w:cs="Arial"/>
          <w:szCs w:val="24"/>
        </w:rPr>
        <w:t>.</w:t>
      </w:r>
      <w:r w:rsidRPr="00C85F24">
        <w:rPr>
          <w:rFonts w:ascii="Arial" w:hAnsi="Arial" w:cs="Arial"/>
          <w:szCs w:val="24"/>
        </w:rPr>
        <w:t>e</w:t>
      </w:r>
      <w:r w:rsidR="00804B65">
        <w:rPr>
          <w:rFonts w:ascii="Arial" w:hAnsi="Arial" w:cs="Arial"/>
          <w:szCs w:val="24"/>
        </w:rPr>
        <w:t>.</w:t>
      </w:r>
      <w:r w:rsidRPr="00C85F24">
        <w:rPr>
          <w:rFonts w:ascii="Arial" w:hAnsi="Arial" w:cs="Arial"/>
          <w:szCs w:val="24"/>
        </w:rPr>
        <w:t xml:space="preserve"> net rents less total operating costs) for FY25 was </w:t>
      </w:r>
      <w:r w:rsidR="00754B11">
        <w:rPr>
          <w:rFonts w:ascii="Arial" w:hAnsi="Arial" w:cs="Arial"/>
          <w:szCs w:val="24"/>
        </w:rPr>
        <w:t>77</w:t>
      </w:r>
      <w:r w:rsidRPr="00C85F24">
        <w:rPr>
          <w:rFonts w:ascii="Arial" w:hAnsi="Arial" w:cs="Arial"/>
          <w:szCs w:val="24"/>
        </w:rPr>
        <w:t xml:space="preserve">% higher than last year, reflecting strong cost control in a high inflation and increasingly challenging service environment. Gross margin from First Tranche sales </w:t>
      </w:r>
      <w:r w:rsidR="005F29C3">
        <w:rPr>
          <w:rFonts w:ascii="Arial" w:hAnsi="Arial" w:cs="Arial"/>
          <w:szCs w:val="24"/>
        </w:rPr>
        <w:t xml:space="preserve">increased </w:t>
      </w:r>
      <w:r w:rsidR="00F20DDC">
        <w:rPr>
          <w:rFonts w:ascii="Arial" w:hAnsi="Arial" w:cs="Arial"/>
          <w:szCs w:val="24"/>
        </w:rPr>
        <w:t>to</w:t>
      </w:r>
      <w:r w:rsidR="00F20DDC" w:rsidRPr="00C85F24">
        <w:rPr>
          <w:rFonts w:ascii="Arial" w:hAnsi="Arial" w:cs="Arial"/>
          <w:szCs w:val="24"/>
        </w:rPr>
        <w:t xml:space="preserve"> </w:t>
      </w:r>
      <w:r w:rsidR="00F20DDC">
        <w:rPr>
          <w:rFonts w:ascii="Arial" w:hAnsi="Arial" w:cs="Arial"/>
          <w:szCs w:val="24"/>
        </w:rPr>
        <w:t>31</w:t>
      </w:r>
      <w:r w:rsidR="00F20DDC" w:rsidRPr="00C85F24">
        <w:rPr>
          <w:rFonts w:ascii="Arial" w:hAnsi="Arial" w:cs="Arial"/>
          <w:szCs w:val="24"/>
        </w:rPr>
        <w:t>% (</w:t>
      </w:r>
      <w:r w:rsidR="00F20DDC">
        <w:rPr>
          <w:rFonts w:ascii="Arial" w:hAnsi="Arial" w:cs="Arial"/>
          <w:szCs w:val="24"/>
        </w:rPr>
        <w:t>FY</w:t>
      </w:r>
      <w:r w:rsidR="00F20DDC" w:rsidRPr="00C85F24">
        <w:rPr>
          <w:rFonts w:ascii="Arial" w:hAnsi="Arial" w:cs="Arial"/>
          <w:szCs w:val="24"/>
        </w:rPr>
        <w:t>24 15%)</w:t>
      </w:r>
      <w:r w:rsidR="00F20DDC">
        <w:rPr>
          <w:rFonts w:ascii="Arial" w:hAnsi="Arial" w:cs="Arial"/>
          <w:szCs w:val="24"/>
        </w:rPr>
        <w:t xml:space="preserve"> </w:t>
      </w:r>
      <w:r w:rsidRPr="00C85F24">
        <w:rPr>
          <w:rFonts w:ascii="Arial" w:hAnsi="Arial" w:cs="Arial"/>
          <w:szCs w:val="24"/>
        </w:rPr>
        <w:t xml:space="preserve">compared to the same period last year.   </w:t>
      </w:r>
    </w:p>
    <w:p w14:paraId="61813D7A" w14:textId="53D8A5DC" w:rsidR="00BD4932" w:rsidRDefault="00C85F24" w:rsidP="00C85F24">
      <w:pPr>
        <w:spacing w:line="240" w:lineRule="auto"/>
        <w:rPr>
          <w:rFonts w:ascii="Arial" w:hAnsi="Arial" w:cs="Arial"/>
          <w:szCs w:val="24"/>
        </w:rPr>
      </w:pPr>
      <w:r w:rsidRPr="00C85F24">
        <w:rPr>
          <w:rFonts w:ascii="Arial" w:hAnsi="Arial" w:cs="Arial"/>
          <w:szCs w:val="24"/>
        </w:rPr>
        <w:t xml:space="preserve">Operating costs were </w:t>
      </w:r>
      <w:r w:rsidR="008411E2">
        <w:rPr>
          <w:rFonts w:ascii="Arial" w:hAnsi="Arial" w:cs="Arial"/>
          <w:szCs w:val="24"/>
        </w:rPr>
        <w:t>£328m (FY24</w:t>
      </w:r>
      <w:r w:rsidR="007037E1">
        <w:rPr>
          <w:rFonts w:ascii="Arial" w:hAnsi="Arial" w:cs="Arial"/>
          <w:szCs w:val="24"/>
        </w:rPr>
        <w:t>:</w:t>
      </w:r>
      <w:r w:rsidR="008411E2">
        <w:rPr>
          <w:rFonts w:ascii="Arial" w:hAnsi="Arial" w:cs="Arial"/>
          <w:szCs w:val="24"/>
        </w:rPr>
        <w:t xml:space="preserve"> £319m) up </w:t>
      </w:r>
      <w:r w:rsidR="00754B11">
        <w:rPr>
          <w:rFonts w:ascii="Arial" w:hAnsi="Arial" w:cs="Arial"/>
          <w:szCs w:val="24"/>
        </w:rPr>
        <w:t>3</w:t>
      </w:r>
      <w:r w:rsidR="008411E2">
        <w:rPr>
          <w:rFonts w:ascii="Arial" w:hAnsi="Arial" w:cs="Arial"/>
          <w:szCs w:val="24"/>
        </w:rPr>
        <w:t>%</w:t>
      </w:r>
      <w:r w:rsidRPr="00C85F24">
        <w:rPr>
          <w:rFonts w:ascii="Arial" w:hAnsi="Arial" w:cs="Arial"/>
          <w:szCs w:val="24"/>
        </w:rPr>
        <w:t xml:space="preserve">. </w:t>
      </w:r>
      <w:r w:rsidR="008411E2" w:rsidRPr="0025222D">
        <w:rPr>
          <w:rFonts w:ascii="Arial" w:hAnsi="Arial" w:cs="Arial"/>
        </w:rPr>
        <w:t>Key to this increase was the general pay</w:t>
      </w:r>
      <w:r w:rsidR="008411E2">
        <w:rPr>
          <w:rFonts w:ascii="Arial" w:hAnsi="Arial" w:cs="Arial"/>
        </w:rPr>
        <w:t xml:space="preserve"> </w:t>
      </w:r>
      <w:r w:rsidR="008411E2" w:rsidRPr="0025222D">
        <w:rPr>
          <w:rFonts w:ascii="Arial" w:hAnsi="Arial" w:cs="Arial"/>
        </w:rPr>
        <w:t>rise of 5%, general inflation on contractor costs along with continued increased investment in our repairs and compliance solution</w:t>
      </w:r>
      <w:r w:rsidRPr="00C85F24">
        <w:rPr>
          <w:rFonts w:ascii="Arial" w:hAnsi="Arial" w:cs="Arial"/>
          <w:szCs w:val="24"/>
        </w:rPr>
        <w:t xml:space="preserve">. Surplus from </w:t>
      </w:r>
      <w:r w:rsidR="00F20DDC">
        <w:rPr>
          <w:rFonts w:ascii="Arial" w:hAnsi="Arial" w:cs="Arial"/>
          <w:szCs w:val="24"/>
        </w:rPr>
        <w:t>Development activities increased to £</w:t>
      </w:r>
      <w:r w:rsidR="005C7F1E">
        <w:rPr>
          <w:rFonts w:ascii="Arial" w:hAnsi="Arial" w:cs="Arial"/>
          <w:szCs w:val="24"/>
        </w:rPr>
        <w:t>53.9</w:t>
      </w:r>
      <w:r w:rsidR="00F20DDC">
        <w:rPr>
          <w:rFonts w:ascii="Arial" w:hAnsi="Arial" w:cs="Arial"/>
          <w:szCs w:val="24"/>
        </w:rPr>
        <w:t>m (FY24</w:t>
      </w:r>
      <w:r w:rsidR="007037E1">
        <w:rPr>
          <w:rFonts w:ascii="Arial" w:hAnsi="Arial" w:cs="Arial"/>
          <w:szCs w:val="24"/>
        </w:rPr>
        <w:t>:</w:t>
      </w:r>
      <w:r w:rsidR="00F20DDC">
        <w:rPr>
          <w:rFonts w:ascii="Arial" w:hAnsi="Arial" w:cs="Arial"/>
          <w:szCs w:val="24"/>
        </w:rPr>
        <w:t xml:space="preserve"> £46.4m) largely due to Homebuy Loan redemptions and the Strategic Asset Management (SAM) sales</w:t>
      </w:r>
      <w:r w:rsidRPr="00C85F24">
        <w:rPr>
          <w:rFonts w:ascii="Arial" w:hAnsi="Arial" w:cs="Arial"/>
          <w:szCs w:val="24"/>
        </w:rPr>
        <w:t>. Staircasing surplus was £</w:t>
      </w:r>
      <w:r w:rsidR="00801AE4">
        <w:rPr>
          <w:rFonts w:ascii="Arial" w:hAnsi="Arial" w:cs="Arial"/>
          <w:szCs w:val="24"/>
        </w:rPr>
        <w:t>12.5m (FY24</w:t>
      </w:r>
      <w:r w:rsidR="007037E1">
        <w:rPr>
          <w:rFonts w:ascii="Arial" w:hAnsi="Arial" w:cs="Arial"/>
          <w:szCs w:val="24"/>
        </w:rPr>
        <w:t>:</w:t>
      </w:r>
      <w:r w:rsidR="00801AE4">
        <w:rPr>
          <w:rFonts w:ascii="Arial" w:hAnsi="Arial" w:cs="Arial"/>
          <w:szCs w:val="24"/>
        </w:rPr>
        <w:t xml:space="preserve"> £</w:t>
      </w:r>
      <w:r w:rsidR="008411E2">
        <w:rPr>
          <w:rFonts w:ascii="Arial" w:hAnsi="Arial" w:cs="Arial"/>
          <w:szCs w:val="24"/>
        </w:rPr>
        <w:t>10.3</w:t>
      </w:r>
      <w:r w:rsidR="00801AE4">
        <w:rPr>
          <w:rFonts w:ascii="Arial" w:hAnsi="Arial" w:cs="Arial"/>
          <w:szCs w:val="24"/>
        </w:rPr>
        <w:t>m)</w:t>
      </w:r>
      <w:r w:rsidR="008411E2">
        <w:rPr>
          <w:rFonts w:ascii="Arial" w:hAnsi="Arial" w:cs="Arial"/>
          <w:szCs w:val="24"/>
        </w:rPr>
        <w:t xml:space="preserve"> as we completed 321 staircasing transactions (FY24</w:t>
      </w:r>
      <w:r w:rsidR="007037E1">
        <w:rPr>
          <w:rFonts w:ascii="Arial" w:hAnsi="Arial" w:cs="Arial"/>
          <w:szCs w:val="24"/>
        </w:rPr>
        <w:t>:</w:t>
      </w:r>
      <w:r w:rsidR="008411E2">
        <w:rPr>
          <w:rFonts w:ascii="Arial" w:hAnsi="Arial" w:cs="Arial"/>
          <w:szCs w:val="24"/>
        </w:rPr>
        <w:t xml:space="preserve"> 263)</w:t>
      </w:r>
      <w:r w:rsidRPr="00C85F24">
        <w:rPr>
          <w:rFonts w:ascii="Arial" w:hAnsi="Arial" w:cs="Arial"/>
          <w:szCs w:val="24"/>
        </w:rPr>
        <w:t>.</w:t>
      </w:r>
    </w:p>
    <w:p w14:paraId="0FA858CE" w14:textId="024C3D41" w:rsidR="00BD4932" w:rsidRDefault="00BD4932" w:rsidP="00C85F24">
      <w:pPr>
        <w:spacing w:line="240" w:lineRule="auto"/>
        <w:rPr>
          <w:rFonts w:ascii="Arial" w:hAnsi="Arial" w:cs="Arial"/>
          <w:szCs w:val="24"/>
        </w:rPr>
      </w:pPr>
      <w:r w:rsidRPr="00BD4932">
        <w:rPr>
          <w:rFonts w:ascii="Arial" w:hAnsi="Arial" w:cs="Arial"/>
          <w:szCs w:val="24"/>
        </w:rPr>
        <w:t>The Group recorded a surplus after tax of £48m (2024: loss of £80m) after net interest costs of £91m (2024: £90m). Other comprehensive income includes a credit of £9m (2024: charge of £15m) in respect of our defined benefit pension obligations, and a £10m credit (2024: £3m credit) in respect of the movement in fair value of the Group’s financial hedging derivatives.</w:t>
      </w:r>
    </w:p>
    <w:p w14:paraId="78E70B68" w14:textId="3A1D664E" w:rsidR="00CD5A86" w:rsidRPr="006B0C62" w:rsidRDefault="00A5638F" w:rsidP="00C85F24">
      <w:pPr>
        <w:spacing w:after="0" w:line="240" w:lineRule="auto"/>
        <w:rPr>
          <w:rFonts w:ascii="Arial" w:hAnsi="Arial" w:cs="Arial"/>
          <w:szCs w:val="24"/>
        </w:rPr>
      </w:pPr>
      <w:r>
        <w:rPr>
          <w:rFonts w:ascii="Arial" w:hAnsi="Arial" w:cs="Arial"/>
          <w:szCs w:val="24"/>
        </w:rPr>
        <w:t>Cashflow from operating activities is up 10% at £272m (FY24: £248m) driven by higher rental and sales income.</w:t>
      </w:r>
      <w:r w:rsidR="006B0C62">
        <w:rPr>
          <w:rFonts w:ascii="Arial" w:hAnsi="Arial" w:cs="Arial"/>
          <w:szCs w:val="24"/>
        </w:rPr>
        <w:t xml:space="preserve"> Development expenditure in new </w:t>
      </w:r>
      <w:r w:rsidR="00C85F24" w:rsidRPr="006B0C62">
        <w:rPr>
          <w:rFonts w:ascii="Arial" w:hAnsi="Arial" w:cs="Arial"/>
          <w:szCs w:val="24"/>
        </w:rPr>
        <w:t xml:space="preserve">projects totalled </w:t>
      </w:r>
      <w:r w:rsidR="006B0C62">
        <w:rPr>
          <w:rFonts w:ascii="Arial" w:hAnsi="Arial" w:cs="Arial"/>
          <w:szCs w:val="24"/>
        </w:rPr>
        <w:t xml:space="preserve">£442m </w:t>
      </w:r>
      <w:r w:rsidR="00C85F24" w:rsidRPr="006B0C62">
        <w:rPr>
          <w:rFonts w:ascii="Arial" w:hAnsi="Arial" w:cs="Arial"/>
          <w:szCs w:val="24"/>
        </w:rPr>
        <w:t>(</w:t>
      </w:r>
      <w:r w:rsidR="00BD4932" w:rsidRPr="006B0C62">
        <w:rPr>
          <w:rFonts w:ascii="Arial" w:hAnsi="Arial" w:cs="Arial"/>
          <w:szCs w:val="24"/>
        </w:rPr>
        <w:t>FY</w:t>
      </w:r>
      <w:r w:rsidR="00C85F24" w:rsidRPr="006B0C62">
        <w:rPr>
          <w:rFonts w:ascii="Arial" w:hAnsi="Arial" w:cs="Arial"/>
          <w:szCs w:val="24"/>
        </w:rPr>
        <w:t>24: £</w:t>
      </w:r>
      <w:r w:rsidR="006B0C62">
        <w:rPr>
          <w:rFonts w:ascii="Arial" w:hAnsi="Arial" w:cs="Arial"/>
          <w:szCs w:val="24"/>
        </w:rPr>
        <w:t>2</w:t>
      </w:r>
      <w:r w:rsidR="00415DEE">
        <w:rPr>
          <w:rFonts w:ascii="Arial" w:hAnsi="Arial" w:cs="Arial"/>
          <w:szCs w:val="24"/>
        </w:rPr>
        <w:t>8</w:t>
      </w:r>
      <w:r w:rsidR="006B0C62">
        <w:rPr>
          <w:rFonts w:ascii="Arial" w:hAnsi="Arial" w:cs="Arial"/>
          <w:szCs w:val="24"/>
        </w:rPr>
        <w:t>0</w:t>
      </w:r>
      <w:r w:rsidR="00C85F24" w:rsidRPr="006B0C62">
        <w:rPr>
          <w:rFonts w:ascii="Arial" w:hAnsi="Arial" w:cs="Arial"/>
          <w:szCs w:val="24"/>
        </w:rPr>
        <w:t xml:space="preserve">m) </w:t>
      </w:r>
      <w:r w:rsidR="006B0C62">
        <w:rPr>
          <w:rFonts w:ascii="Arial" w:hAnsi="Arial" w:cs="Arial"/>
          <w:szCs w:val="24"/>
        </w:rPr>
        <w:t>as MTVH continued to develop new homes, with expenditure largely funded by the drawdown of debt.</w:t>
      </w:r>
    </w:p>
    <w:p w14:paraId="660E9254" w14:textId="77777777" w:rsidR="00CD5A86" w:rsidRDefault="00CD5A86" w:rsidP="00C85F24">
      <w:pPr>
        <w:spacing w:after="0" w:line="240" w:lineRule="auto"/>
        <w:rPr>
          <w:rFonts w:ascii="Arial" w:hAnsi="Arial" w:cs="Arial"/>
          <w:i/>
          <w:iCs/>
          <w:szCs w:val="24"/>
        </w:rPr>
      </w:pPr>
    </w:p>
    <w:p w14:paraId="74BC7541" w14:textId="354F9C24" w:rsidR="00C85F24" w:rsidRPr="00C85F24" w:rsidRDefault="00C85F24" w:rsidP="00C85F24">
      <w:pPr>
        <w:spacing w:after="0" w:line="240" w:lineRule="auto"/>
        <w:rPr>
          <w:rFonts w:ascii="Arial" w:hAnsi="Arial" w:cs="Arial"/>
          <w:szCs w:val="24"/>
        </w:rPr>
      </w:pPr>
      <w:r w:rsidRPr="00C85F24">
        <w:rPr>
          <w:rFonts w:ascii="Arial" w:hAnsi="Arial" w:cs="Arial"/>
          <w:szCs w:val="24"/>
        </w:rPr>
        <w:t xml:space="preserve">The organisation completed </w:t>
      </w:r>
      <w:r w:rsidR="00BD4932">
        <w:rPr>
          <w:rFonts w:ascii="Arial" w:hAnsi="Arial" w:cs="Arial"/>
          <w:szCs w:val="24"/>
        </w:rPr>
        <w:t>544</w:t>
      </w:r>
      <w:r w:rsidRPr="00C85F24">
        <w:rPr>
          <w:rFonts w:ascii="Arial" w:hAnsi="Arial" w:cs="Arial"/>
          <w:szCs w:val="24"/>
        </w:rPr>
        <w:t xml:space="preserve"> homes during the year (</w:t>
      </w:r>
      <w:r w:rsidR="00BD4932">
        <w:rPr>
          <w:rFonts w:ascii="Arial" w:hAnsi="Arial" w:cs="Arial"/>
          <w:szCs w:val="24"/>
        </w:rPr>
        <w:t>FY</w:t>
      </w:r>
      <w:r w:rsidRPr="00C85F24">
        <w:rPr>
          <w:rFonts w:ascii="Arial" w:hAnsi="Arial" w:cs="Arial"/>
          <w:szCs w:val="24"/>
        </w:rPr>
        <w:t xml:space="preserve">24: </w:t>
      </w:r>
      <w:r w:rsidR="00C24C6A">
        <w:rPr>
          <w:rFonts w:ascii="Arial" w:hAnsi="Arial" w:cs="Arial"/>
          <w:szCs w:val="24"/>
        </w:rPr>
        <w:t>892</w:t>
      </w:r>
      <w:r w:rsidRPr="00C85F24">
        <w:rPr>
          <w:rFonts w:ascii="Arial" w:hAnsi="Arial" w:cs="Arial"/>
          <w:szCs w:val="24"/>
        </w:rPr>
        <w:t xml:space="preserve">) and </w:t>
      </w:r>
      <w:r w:rsidR="00B7329E">
        <w:rPr>
          <w:rFonts w:ascii="Arial" w:hAnsi="Arial" w:cs="Arial"/>
          <w:szCs w:val="24"/>
        </w:rPr>
        <w:t>has a sufficiently identified pipeline to meet our commitments to the GLA and homes England (HE) 2021-2026 programme</w:t>
      </w:r>
      <w:r w:rsidRPr="00C85F24">
        <w:rPr>
          <w:rFonts w:ascii="Arial" w:hAnsi="Arial" w:cs="Arial"/>
          <w:szCs w:val="24"/>
        </w:rPr>
        <w:t xml:space="preserve">. </w:t>
      </w:r>
    </w:p>
    <w:p w14:paraId="7CEB4601" w14:textId="77777777" w:rsidR="00C85F24" w:rsidRPr="00C85F24" w:rsidRDefault="00C85F24" w:rsidP="00C85F24">
      <w:pPr>
        <w:spacing w:after="0" w:line="240" w:lineRule="auto"/>
        <w:rPr>
          <w:rFonts w:ascii="Arial" w:hAnsi="Arial" w:cs="Arial"/>
          <w:szCs w:val="24"/>
          <w:highlight w:val="yellow"/>
        </w:rPr>
      </w:pPr>
    </w:p>
    <w:p w14:paraId="7C16875E" w14:textId="0677F662" w:rsidR="009C2BF7" w:rsidRDefault="00C85F24" w:rsidP="00C85F24">
      <w:pPr>
        <w:spacing w:after="0" w:line="240" w:lineRule="auto"/>
        <w:rPr>
          <w:rFonts w:ascii="Arial" w:hAnsi="Arial" w:cs="Arial"/>
          <w:szCs w:val="24"/>
        </w:rPr>
      </w:pPr>
      <w:r w:rsidRPr="00C85F24">
        <w:rPr>
          <w:rFonts w:ascii="Arial" w:hAnsi="Arial" w:cs="Arial"/>
          <w:szCs w:val="24"/>
        </w:rPr>
        <w:t xml:space="preserve">Net interest costs (excluding mark to market movements on derivatives) are </w:t>
      </w:r>
      <w:r w:rsidR="0066719B">
        <w:rPr>
          <w:rFonts w:ascii="Arial" w:hAnsi="Arial" w:cs="Arial"/>
          <w:szCs w:val="24"/>
        </w:rPr>
        <w:t xml:space="preserve">just </w:t>
      </w:r>
      <w:r w:rsidRPr="00C85F24">
        <w:rPr>
          <w:rFonts w:ascii="Arial" w:hAnsi="Arial" w:cs="Arial"/>
          <w:szCs w:val="24"/>
        </w:rPr>
        <w:t>£</w:t>
      </w:r>
      <w:r w:rsidR="0066719B">
        <w:rPr>
          <w:rFonts w:ascii="Arial" w:hAnsi="Arial" w:cs="Arial"/>
          <w:szCs w:val="24"/>
        </w:rPr>
        <w:t>1</w:t>
      </w:r>
      <w:r w:rsidRPr="00C85F24">
        <w:rPr>
          <w:rFonts w:ascii="Arial" w:hAnsi="Arial" w:cs="Arial"/>
          <w:szCs w:val="24"/>
        </w:rPr>
        <w:t xml:space="preserve">m </w:t>
      </w:r>
      <w:r w:rsidR="0066719B">
        <w:rPr>
          <w:rFonts w:ascii="Arial" w:hAnsi="Arial" w:cs="Arial"/>
          <w:szCs w:val="24"/>
        </w:rPr>
        <w:t>higher</w:t>
      </w:r>
      <w:r w:rsidRPr="00C85F24">
        <w:rPr>
          <w:rFonts w:ascii="Arial" w:hAnsi="Arial" w:cs="Arial"/>
          <w:szCs w:val="24"/>
        </w:rPr>
        <w:t xml:space="preserve"> than last year</w:t>
      </w:r>
      <w:r w:rsidR="0066719B">
        <w:rPr>
          <w:rFonts w:ascii="Arial" w:hAnsi="Arial" w:cs="Arial"/>
          <w:szCs w:val="24"/>
        </w:rPr>
        <w:t>,</w:t>
      </w:r>
      <w:r w:rsidRPr="00C85F24">
        <w:rPr>
          <w:rFonts w:ascii="Arial" w:hAnsi="Arial" w:cs="Arial"/>
          <w:szCs w:val="24"/>
        </w:rPr>
        <w:t xml:space="preserve"> </w:t>
      </w:r>
      <w:r w:rsidR="00B7329E">
        <w:rPr>
          <w:rFonts w:ascii="Arial" w:hAnsi="Arial" w:cs="Arial"/>
          <w:szCs w:val="24"/>
        </w:rPr>
        <w:t>despite increased debt</w:t>
      </w:r>
      <w:r w:rsidR="009C2BF7">
        <w:rPr>
          <w:rFonts w:ascii="Arial" w:hAnsi="Arial" w:cs="Arial"/>
          <w:szCs w:val="24"/>
        </w:rPr>
        <w:t xml:space="preserve"> </w:t>
      </w:r>
      <w:r w:rsidR="0066719B">
        <w:rPr>
          <w:rFonts w:ascii="Arial" w:hAnsi="Arial" w:cs="Arial"/>
          <w:szCs w:val="24"/>
        </w:rPr>
        <w:t xml:space="preserve">resulting </w:t>
      </w:r>
      <w:r w:rsidR="009C2BF7">
        <w:rPr>
          <w:rFonts w:ascii="Arial" w:hAnsi="Arial" w:cs="Arial"/>
          <w:szCs w:val="24"/>
        </w:rPr>
        <w:t>from</w:t>
      </w:r>
      <w:r w:rsidR="00B7329E">
        <w:rPr>
          <w:rFonts w:ascii="Arial" w:hAnsi="Arial" w:cs="Arial"/>
          <w:szCs w:val="24"/>
        </w:rPr>
        <w:t xml:space="preserve"> </w:t>
      </w:r>
      <w:r w:rsidR="0066719B">
        <w:rPr>
          <w:rFonts w:ascii="Arial" w:hAnsi="Arial" w:cs="Arial"/>
          <w:szCs w:val="24"/>
        </w:rPr>
        <w:t xml:space="preserve">greater </w:t>
      </w:r>
      <w:r w:rsidR="00B7329E">
        <w:rPr>
          <w:rFonts w:ascii="Arial" w:hAnsi="Arial" w:cs="Arial"/>
          <w:szCs w:val="24"/>
        </w:rPr>
        <w:t xml:space="preserve">development spend, </w:t>
      </w:r>
      <w:r w:rsidR="00B27EB8">
        <w:rPr>
          <w:rFonts w:ascii="Arial" w:hAnsi="Arial" w:cs="Arial"/>
          <w:szCs w:val="24"/>
        </w:rPr>
        <w:t xml:space="preserve">offset as </w:t>
      </w:r>
      <w:r w:rsidR="00B7329E">
        <w:rPr>
          <w:rFonts w:ascii="Arial" w:hAnsi="Arial" w:cs="Arial"/>
          <w:szCs w:val="24"/>
        </w:rPr>
        <w:t xml:space="preserve">rates </w:t>
      </w:r>
      <w:r w:rsidR="00B27EB8">
        <w:rPr>
          <w:rFonts w:ascii="Arial" w:hAnsi="Arial" w:cs="Arial"/>
          <w:szCs w:val="24"/>
        </w:rPr>
        <w:t xml:space="preserve">started </w:t>
      </w:r>
      <w:r w:rsidR="00B7329E">
        <w:rPr>
          <w:rFonts w:ascii="Arial" w:hAnsi="Arial" w:cs="Arial"/>
          <w:szCs w:val="24"/>
        </w:rPr>
        <w:t>to fall</w:t>
      </w:r>
      <w:r w:rsidR="0066719B">
        <w:rPr>
          <w:rFonts w:ascii="Arial" w:hAnsi="Arial" w:cs="Arial"/>
          <w:szCs w:val="24"/>
        </w:rPr>
        <w:t>,</w:t>
      </w:r>
      <w:r w:rsidR="00B7329E">
        <w:rPr>
          <w:rFonts w:ascii="Arial" w:hAnsi="Arial" w:cs="Arial"/>
          <w:szCs w:val="24"/>
        </w:rPr>
        <w:t xml:space="preserve"> and the </w:t>
      </w:r>
      <w:r w:rsidR="00B27EB8">
        <w:rPr>
          <w:rFonts w:ascii="Arial" w:hAnsi="Arial" w:cs="Arial"/>
          <w:szCs w:val="24"/>
        </w:rPr>
        <w:t xml:space="preserve">increased </w:t>
      </w:r>
      <w:r w:rsidR="00B7329E">
        <w:rPr>
          <w:rFonts w:ascii="Arial" w:hAnsi="Arial" w:cs="Arial"/>
          <w:szCs w:val="24"/>
        </w:rPr>
        <w:t xml:space="preserve">use of </w:t>
      </w:r>
      <w:r w:rsidRPr="00C85F24">
        <w:rPr>
          <w:rFonts w:ascii="Arial" w:hAnsi="Arial" w:cs="Arial"/>
          <w:szCs w:val="24"/>
        </w:rPr>
        <w:t>short</w:t>
      </w:r>
      <w:r w:rsidR="00685089">
        <w:rPr>
          <w:rFonts w:ascii="Arial" w:hAnsi="Arial" w:cs="Arial"/>
          <w:szCs w:val="24"/>
        </w:rPr>
        <w:t>-</w:t>
      </w:r>
      <w:r w:rsidRPr="00C85F24">
        <w:rPr>
          <w:rFonts w:ascii="Arial" w:hAnsi="Arial" w:cs="Arial"/>
          <w:szCs w:val="24"/>
        </w:rPr>
        <w:t xml:space="preserve">term interest rate swaps. </w:t>
      </w:r>
      <w:proofErr w:type="gramStart"/>
      <w:r w:rsidRPr="00C85F24">
        <w:rPr>
          <w:rFonts w:ascii="Arial" w:hAnsi="Arial" w:cs="Arial"/>
          <w:szCs w:val="24"/>
        </w:rPr>
        <w:t>At</w:t>
      </w:r>
      <w:proofErr w:type="gramEnd"/>
      <w:r w:rsidRPr="00C85F24">
        <w:rPr>
          <w:rFonts w:ascii="Arial" w:hAnsi="Arial" w:cs="Arial"/>
          <w:szCs w:val="24"/>
        </w:rPr>
        <w:t xml:space="preserve"> 3</w:t>
      </w:r>
      <w:r w:rsidR="00B7329E">
        <w:rPr>
          <w:rFonts w:ascii="Arial" w:hAnsi="Arial" w:cs="Arial"/>
          <w:szCs w:val="24"/>
        </w:rPr>
        <w:t>1</w:t>
      </w:r>
      <w:r w:rsidRPr="00C85F24">
        <w:rPr>
          <w:rFonts w:ascii="Arial" w:hAnsi="Arial" w:cs="Arial"/>
          <w:szCs w:val="24"/>
        </w:rPr>
        <w:t xml:space="preserve"> </w:t>
      </w:r>
      <w:r w:rsidR="00B7329E">
        <w:rPr>
          <w:rFonts w:ascii="Arial" w:hAnsi="Arial" w:cs="Arial"/>
          <w:szCs w:val="24"/>
        </w:rPr>
        <w:t>March 2025</w:t>
      </w:r>
      <w:r w:rsidRPr="00C85F24">
        <w:rPr>
          <w:rFonts w:ascii="Arial" w:hAnsi="Arial" w:cs="Arial"/>
          <w:szCs w:val="24"/>
        </w:rPr>
        <w:t>, we had £</w:t>
      </w:r>
      <w:r w:rsidR="0061151D">
        <w:rPr>
          <w:rFonts w:ascii="Arial" w:hAnsi="Arial" w:cs="Arial"/>
          <w:szCs w:val="24"/>
        </w:rPr>
        <w:t>723</w:t>
      </w:r>
      <w:r w:rsidRPr="00C85F24">
        <w:rPr>
          <w:rFonts w:ascii="Arial" w:hAnsi="Arial" w:cs="Arial"/>
          <w:szCs w:val="24"/>
        </w:rPr>
        <w:t xml:space="preserve">m </w:t>
      </w:r>
      <w:r w:rsidR="00084085">
        <w:rPr>
          <w:rFonts w:ascii="Arial" w:hAnsi="Arial" w:cs="Arial"/>
          <w:szCs w:val="24"/>
        </w:rPr>
        <w:t>(</w:t>
      </w:r>
      <w:r w:rsidR="00084085" w:rsidRPr="00C85F24">
        <w:rPr>
          <w:rFonts w:ascii="Arial" w:hAnsi="Arial" w:cs="Arial"/>
          <w:szCs w:val="24"/>
        </w:rPr>
        <w:t>Mar</w:t>
      </w:r>
      <w:r w:rsidR="00084085">
        <w:rPr>
          <w:rFonts w:ascii="Arial" w:hAnsi="Arial" w:cs="Arial"/>
          <w:szCs w:val="24"/>
        </w:rPr>
        <w:t>ch</w:t>
      </w:r>
      <w:r w:rsidR="00084085" w:rsidRPr="00C85F24">
        <w:rPr>
          <w:rFonts w:ascii="Arial" w:hAnsi="Arial" w:cs="Arial"/>
          <w:szCs w:val="24"/>
        </w:rPr>
        <w:t xml:space="preserve"> </w:t>
      </w:r>
      <w:r w:rsidR="00084085">
        <w:rPr>
          <w:rFonts w:ascii="Arial" w:hAnsi="Arial" w:cs="Arial"/>
          <w:szCs w:val="24"/>
        </w:rPr>
        <w:t>20</w:t>
      </w:r>
      <w:r w:rsidR="00084085" w:rsidRPr="00C85F24">
        <w:rPr>
          <w:rFonts w:ascii="Arial" w:hAnsi="Arial" w:cs="Arial"/>
          <w:szCs w:val="24"/>
        </w:rPr>
        <w:t>24: £846m</w:t>
      </w:r>
      <w:r w:rsidR="00084085">
        <w:rPr>
          <w:rFonts w:ascii="Arial" w:hAnsi="Arial" w:cs="Arial"/>
          <w:szCs w:val="24"/>
        </w:rPr>
        <w:t>)</w:t>
      </w:r>
      <w:r w:rsidR="00084085" w:rsidRPr="00C85F24">
        <w:rPr>
          <w:rFonts w:ascii="Arial" w:hAnsi="Arial" w:cs="Arial"/>
          <w:szCs w:val="24"/>
        </w:rPr>
        <w:t xml:space="preserve"> </w:t>
      </w:r>
      <w:r w:rsidRPr="00C85F24">
        <w:rPr>
          <w:rFonts w:ascii="Arial" w:hAnsi="Arial" w:cs="Arial"/>
          <w:szCs w:val="24"/>
        </w:rPr>
        <w:t>of available liquidity (both cash and committed facilities)</w:t>
      </w:r>
      <w:r w:rsidR="00B27EB8">
        <w:rPr>
          <w:rFonts w:ascii="Arial" w:hAnsi="Arial" w:cs="Arial"/>
          <w:szCs w:val="24"/>
        </w:rPr>
        <w:t xml:space="preserve">. </w:t>
      </w:r>
    </w:p>
    <w:p w14:paraId="3FAA8160" w14:textId="77777777" w:rsidR="009C2BF7" w:rsidRDefault="009C2BF7" w:rsidP="00C85F24">
      <w:pPr>
        <w:spacing w:after="0" w:line="240" w:lineRule="auto"/>
        <w:rPr>
          <w:rFonts w:ascii="Arial" w:hAnsi="Arial" w:cs="Arial"/>
          <w:szCs w:val="24"/>
        </w:rPr>
      </w:pPr>
    </w:p>
    <w:p w14:paraId="56A74966" w14:textId="395FDD83" w:rsidR="00685089" w:rsidRDefault="00B27EB8" w:rsidP="00C85F24">
      <w:pPr>
        <w:spacing w:after="0" w:line="240" w:lineRule="auto"/>
        <w:rPr>
          <w:rFonts w:ascii="Arial" w:hAnsi="Arial" w:cs="Arial"/>
        </w:rPr>
      </w:pPr>
      <w:r>
        <w:rPr>
          <w:rFonts w:ascii="Arial" w:hAnsi="Arial" w:cs="Arial"/>
          <w:szCs w:val="24"/>
        </w:rPr>
        <w:t xml:space="preserve">Facilities have been </w:t>
      </w:r>
      <w:r w:rsidR="00C85F24" w:rsidRPr="00C85F24">
        <w:rPr>
          <w:rFonts w:ascii="Arial" w:hAnsi="Arial" w:cs="Arial"/>
          <w:szCs w:val="24"/>
        </w:rPr>
        <w:t>drawn to cover development spend, resulting in total debt of £2.</w:t>
      </w:r>
      <w:r w:rsidR="0061151D">
        <w:rPr>
          <w:rFonts w:ascii="Arial" w:hAnsi="Arial" w:cs="Arial"/>
          <w:szCs w:val="24"/>
        </w:rPr>
        <w:t>2</w:t>
      </w:r>
      <w:r w:rsidR="00C85F24" w:rsidRPr="00C85F24">
        <w:rPr>
          <w:rFonts w:ascii="Arial" w:hAnsi="Arial" w:cs="Arial"/>
          <w:szCs w:val="24"/>
        </w:rPr>
        <w:t>bn (Mar 24</w:t>
      </w:r>
      <w:r w:rsidR="007037E1">
        <w:rPr>
          <w:rFonts w:ascii="Arial" w:hAnsi="Arial" w:cs="Arial"/>
          <w:szCs w:val="24"/>
        </w:rPr>
        <w:t>:</w:t>
      </w:r>
      <w:r w:rsidR="00C85F24" w:rsidRPr="00C85F24">
        <w:rPr>
          <w:rFonts w:ascii="Arial" w:hAnsi="Arial" w:cs="Arial"/>
          <w:szCs w:val="24"/>
        </w:rPr>
        <w:t xml:space="preserve"> £1.9bn). </w:t>
      </w:r>
      <w:r w:rsidR="00685089" w:rsidRPr="00CC6270">
        <w:rPr>
          <w:rFonts w:ascii="Arial" w:hAnsi="Arial" w:cs="Arial"/>
        </w:rPr>
        <w:t>EBITDA interest cover was 1.9 times (2024: 2.0 times)</w:t>
      </w:r>
      <w:r w:rsidR="00685089">
        <w:rPr>
          <w:rFonts w:ascii="Arial" w:hAnsi="Arial" w:cs="Arial"/>
        </w:rPr>
        <w:t>.</w:t>
      </w:r>
    </w:p>
    <w:p w14:paraId="68E99D41" w14:textId="7B7D19F1" w:rsidR="00C85F24" w:rsidRPr="00C85F24" w:rsidRDefault="00C85F24" w:rsidP="00C85F24">
      <w:pPr>
        <w:spacing w:after="0" w:line="240" w:lineRule="auto"/>
        <w:rPr>
          <w:rFonts w:ascii="Arial" w:hAnsi="Arial" w:cs="Arial"/>
          <w:szCs w:val="24"/>
        </w:rPr>
      </w:pPr>
      <w:r w:rsidRPr="00C85F24">
        <w:rPr>
          <w:rFonts w:ascii="Arial" w:hAnsi="Arial" w:cs="Arial"/>
          <w:szCs w:val="24"/>
        </w:rPr>
        <w:t xml:space="preserve">We </w:t>
      </w:r>
      <w:r w:rsidR="0061151D">
        <w:rPr>
          <w:rFonts w:ascii="Arial" w:hAnsi="Arial" w:cs="Arial"/>
          <w:szCs w:val="24"/>
        </w:rPr>
        <w:t>completed on</w:t>
      </w:r>
      <w:r w:rsidRPr="00C85F24">
        <w:rPr>
          <w:rFonts w:ascii="Arial" w:hAnsi="Arial" w:cs="Arial"/>
          <w:szCs w:val="24"/>
        </w:rPr>
        <w:t xml:space="preserve"> £150m of additional </w:t>
      </w:r>
      <w:r w:rsidR="00B27EB8">
        <w:rPr>
          <w:rFonts w:ascii="Arial" w:hAnsi="Arial" w:cs="Arial"/>
          <w:szCs w:val="24"/>
        </w:rPr>
        <w:t xml:space="preserve">secured </w:t>
      </w:r>
      <w:r w:rsidR="0061151D">
        <w:rPr>
          <w:rFonts w:ascii="Arial" w:hAnsi="Arial" w:cs="Arial"/>
          <w:szCs w:val="24"/>
        </w:rPr>
        <w:t>debt</w:t>
      </w:r>
      <w:r w:rsidRPr="00C85F24">
        <w:rPr>
          <w:rFonts w:ascii="Arial" w:hAnsi="Arial" w:cs="Arial"/>
          <w:szCs w:val="24"/>
        </w:rPr>
        <w:t xml:space="preserve"> </w:t>
      </w:r>
      <w:r w:rsidR="0061151D">
        <w:rPr>
          <w:rFonts w:ascii="Arial" w:hAnsi="Arial" w:cs="Arial"/>
          <w:szCs w:val="24"/>
        </w:rPr>
        <w:t>at the end of the financial year which reduced the charged security available to £4</w:t>
      </w:r>
      <w:r w:rsidR="007037E1">
        <w:rPr>
          <w:rFonts w:ascii="Arial" w:hAnsi="Arial" w:cs="Arial"/>
          <w:szCs w:val="24"/>
        </w:rPr>
        <w:t>9</w:t>
      </w:r>
      <w:r w:rsidR="0061151D">
        <w:rPr>
          <w:rFonts w:ascii="Arial" w:hAnsi="Arial" w:cs="Arial"/>
          <w:szCs w:val="24"/>
        </w:rPr>
        <w:t>1m</w:t>
      </w:r>
      <w:r w:rsidRPr="00C85F24">
        <w:rPr>
          <w:rFonts w:ascii="Arial" w:hAnsi="Arial" w:cs="Arial"/>
          <w:szCs w:val="24"/>
        </w:rPr>
        <w:t>. Liquidity management remains a key focus to mitigate the impact of a wider economic downturn. At the same time, our relatively low gearing, at 39%, and available security, provides further resilience to shock.</w:t>
      </w:r>
    </w:p>
    <w:p w14:paraId="6542C16B" w14:textId="77777777" w:rsidR="00C85F24" w:rsidRPr="00C85F24" w:rsidRDefault="00C85F24" w:rsidP="00C85F24">
      <w:pPr>
        <w:spacing w:after="0" w:line="240" w:lineRule="auto"/>
        <w:rPr>
          <w:rFonts w:ascii="Arial" w:hAnsi="Arial" w:cs="Arial"/>
          <w:szCs w:val="24"/>
          <w:highlight w:val="yellow"/>
        </w:rPr>
      </w:pPr>
    </w:p>
    <w:p w14:paraId="4D031AE9" w14:textId="2832A501" w:rsidR="00C85F24" w:rsidRPr="00C85F24" w:rsidRDefault="00C85F24" w:rsidP="00C85F24">
      <w:pPr>
        <w:spacing w:line="240" w:lineRule="auto"/>
        <w:rPr>
          <w:rFonts w:ascii="Arial" w:hAnsi="Arial" w:cs="Arial"/>
          <w:szCs w:val="24"/>
        </w:rPr>
      </w:pPr>
      <w:r w:rsidRPr="00C85F24">
        <w:rPr>
          <w:rFonts w:ascii="Arial" w:hAnsi="Arial" w:cs="Arial"/>
          <w:szCs w:val="24"/>
        </w:rPr>
        <w:t>Thames Valley Housing Association’s Standard &amp; Poor’s credit rating was unchanged in December 202</w:t>
      </w:r>
      <w:r w:rsidR="0061151D">
        <w:rPr>
          <w:rFonts w:ascii="Arial" w:hAnsi="Arial" w:cs="Arial"/>
          <w:szCs w:val="24"/>
        </w:rPr>
        <w:t>4</w:t>
      </w:r>
      <w:r w:rsidRPr="00C85F24">
        <w:rPr>
          <w:rFonts w:ascii="Arial" w:hAnsi="Arial" w:cs="Arial"/>
          <w:szCs w:val="24"/>
        </w:rPr>
        <w:t xml:space="preserve"> at A- with the outlook Stable</w:t>
      </w:r>
      <w:r w:rsidR="0061151D">
        <w:rPr>
          <w:rFonts w:ascii="Arial" w:hAnsi="Arial" w:cs="Arial"/>
          <w:szCs w:val="24"/>
        </w:rPr>
        <w:t xml:space="preserve">, </w:t>
      </w:r>
      <w:r w:rsidR="0061151D">
        <w:rPr>
          <w:rFonts w:ascii="Arial" w:hAnsi="Arial" w:cs="Arial"/>
        </w:rPr>
        <w:t xml:space="preserve">and </w:t>
      </w:r>
      <w:r w:rsidR="009C2BF7">
        <w:rPr>
          <w:rFonts w:ascii="Arial" w:hAnsi="Arial" w:cs="Arial"/>
        </w:rPr>
        <w:t xml:space="preserve">following </w:t>
      </w:r>
      <w:r w:rsidR="0061151D">
        <w:rPr>
          <w:rFonts w:ascii="Arial" w:hAnsi="Arial" w:cs="Arial"/>
        </w:rPr>
        <w:t xml:space="preserve">the change to the corporate structure </w:t>
      </w:r>
      <w:r w:rsidR="007037E1">
        <w:rPr>
          <w:rFonts w:ascii="Arial" w:hAnsi="Arial" w:cs="Arial"/>
        </w:rPr>
        <w:t xml:space="preserve">on </w:t>
      </w:r>
      <w:r w:rsidR="0061151D">
        <w:rPr>
          <w:rFonts w:ascii="Arial" w:hAnsi="Arial" w:cs="Arial"/>
        </w:rPr>
        <w:t>31 December 2024 making MHT the group parent</w:t>
      </w:r>
      <w:r w:rsidRPr="00C85F24">
        <w:rPr>
          <w:rFonts w:ascii="Arial" w:hAnsi="Arial" w:cs="Arial"/>
          <w:szCs w:val="24"/>
        </w:rPr>
        <w:t>. Fitch Ratings downgraded the organisation rating to A- (Stable) in October 2024.</w:t>
      </w:r>
    </w:p>
    <w:p w14:paraId="0B2C2BD9" w14:textId="77777777" w:rsidR="00C85F24" w:rsidRPr="00C85F24" w:rsidRDefault="00C85F24" w:rsidP="00C85F24">
      <w:pPr>
        <w:spacing w:line="240" w:lineRule="auto"/>
        <w:rPr>
          <w:rFonts w:ascii="Arial" w:hAnsi="Arial" w:cs="Arial"/>
          <w:b/>
          <w:bCs/>
        </w:rPr>
      </w:pPr>
      <w:r w:rsidRPr="00C85F24">
        <w:rPr>
          <w:rFonts w:ascii="Arial" w:hAnsi="Arial" w:cs="Arial"/>
          <w:b/>
          <w:bCs/>
        </w:rPr>
        <w:t>Full-year outlook</w:t>
      </w:r>
    </w:p>
    <w:p w14:paraId="389AD715" w14:textId="688DCA27" w:rsidR="00C85F24" w:rsidRPr="00C85F24" w:rsidRDefault="00C85F24" w:rsidP="00C85F24">
      <w:pPr>
        <w:spacing w:before="120" w:after="120" w:line="240" w:lineRule="auto"/>
        <w:rPr>
          <w:rFonts w:ascii="Arial" w:hAnsi="Arial" w:cs="Arial"/>
        </w:rPr>
      </w:pPr>
      <w:r w:rsidRPr="00C85F24">
        <w:rPr>
          <w:rFonts w:ascii="Arial" w:hAnsi="Arial" w:cs="Arial"/>
        </w:rPr>
        <w:t>This outlook statement is subject to uncertainty/unforeseen market and business interruption as a result of uncertainty over the direction of government policy</w:t>
      </w:r>
      <w:r w:rsidR="007037E1">
        <w:rPr>
          <w:rFonts w:ascii="Arial" w:hAnsi="Arial" w:cs="Arial"/>
        </w:rPr>
        <w:t>,</w:t>
      </w:r>
      <w:r w:rsidRPr="00C85F24">
        <w:rPr>
          <w:rFonts w:ascii="Arial" w:hAnsi="Arial" w:cs="Arial"/>
        </w:rPr>
        <w:t xml:space="preserve"> </w:t>
      </w:r>
      <w:r w:rsidR="003B7B37" w:rsidRPr="003B7B37">
        <w:rPr>
          <w:rFonts w:ascii="Arial" w:hAnsi="Arial" w:cs="Arial"/>
        </w:rPr>
        <w:t xml:space="preserve">as well as the impact of US tariffs and the risk of a world recession. The economic and geopolitical environments remain challenging, with higher levels of inflation and interest rates, along with continuing concerns over energy supplies. The 2024 elections in the UK and USA have resulted in </w:t>
      </w:r>
      <w:r w:rsidR="00491025">
        <w:rPr>
          <w:rFonts w:ascii="Arial" w:hAnsi="Arial" w:cs="Arial"/>
        </w:rPr>
        <w:t>significant</w:t>
      </w:r>
      <w:r w:rsidR="003B7B37" w:rsidRPr="003B7B37">
        <w:rPr>
          <w:rFonts w:ascii="Arial" w:hAnsi="Arial" w:cs="Arial"/>
        </w:rPr>
        <w:t xml:space="preserve"> </w:t>
      </w:r>
      <w:r w:rsidR="003B7B37" w:rsidRPr="003B7B37">
        <w:rPr>
          <w:rFonts w:ascii="Arial" w:hAnsi="Arial" w:cs="Arial"/>
        </w:rPr>
        <w:lastRenderedPageBreak/>
        <w:t>changes in economic policy</w:t>
      </w:r>
      <w:r w:rsidR="00491025">
        <w:rPr>
          <w:rFonts w:ascii="Arial" w:hAnsi="Arial" w:cs="Arial"/>
        </w:rPr>
        <w:t xml:space="preserve"> and international trade</w:t>
      </w:r>
      <w:r w:rsidR="009C2BF7">
        <w:rPr>
          <w:rFonts w:ascii="Arial" w:hAnsi="Arial" w:cs="Arial"/>
        </w:rPr>
        <w:t>,</w:t>
      </w:r>
      <w:r w:rsidR="003B7B37" w:rsidRPr="003B7B37">
        <w:rPr>
          <w:rFonts w:ascii="Arial" w:hAnsi="Arial" w:cs="Arial"/>
        </w:rPr>
        <w:t xml:space="preserve"> </w:t>
      </w:r>
      <w:r w:rsidR="009C2BF7">
        <w:rPr>
          <w:rFonts w:ascii="Arial" w:hAnsi="Arial" w:cs="Arial"/>
        </w:rPr>
        <w:t xml:space="preserve">that </w:t>
      </w:r>
      <w:r w:rsidR="003B7B37" w:rsidRPr="003B7B37">
        <w:rPr>
          <w:rFonts w:ascii="Arial" w:hAnsi="Arial" w:cs="Arial"/>
        </w:rPr>
        <w:t>could cause inflation, supply chain challenges</w:t>
      </w:r>
      <w:r w:rsidR="00491025">
        <w:rPr>
          <w:rFonts w:ascii="Arial" w:hAnsi="Arial" w:cs="Arial"/>
        </w:rPr>
        <w:t xml:space="preserve"> as well as </w:t>
      </w:r>
      <w:r w:rsidR="003B7B37" w:rsidRPr="003B7B37">
        <w:rPr>
          <w:rFonts w:ascii="Arial" w:hAnsi="Arial" w:cs="Arial"/>
        </w:rPr>
        <w:t xml:space="preserve">higher unemployment </w:t>
      </w:r>
      <w:r w:rsidR="009C2BF7">
        <w:rPr>
          <w:rFonts w:ascii="Arial" w:hAnsi="Arial" w:cs="Arial"/>
        </w:rPr>
        <w:t>which</w:t>
      </w:r>
      <w:r w:rsidR="003B7B37" w:rsidRPr="003B7B37">
        <w:rPr>
          <w:rFonts w:ascii="Arial" w:hAnsi="Arial" w:cs="Arial"/>
        </w:rPr>
        <w:t xml:space="preserve"> could impact the sector.   </w:t>
      </w:r>
      <w:r w:rsidRPr="00C85F24">
        <w:rPr>
          <w:rFonts w:ascii="Arial" w:hAnsi="Arial" w:cs="Arial"/>
        </w:rPr>
        <w:t xml:space="preserve"> </w:t>
      </w:r>
    </w:p>
    <w:p w14:paraId="273A23C3" w14:textId="77777777" w:rsidR="00C85F24" w:rsidRPr="00C85F24" w:rsidRDefault="00C85F24" w:rsidP="00C85F24">
      <w:pPr>
        <w:spacing w:before="120" w:after="120" w:line="240" w:lineRule="auto"/>
        <w:rPr>
          <w:rFonts w:ascii="Arial" w:hAnsi="Arial" w:cs="Arial"/>
          <w:u w:val="single"/>
        </w:rPr>
      </w:pPr>
      <w:r w:rsidRPr="00C85F24">
        <w:rPr>
          <w:rFonts w:ascii="Arial" w:hAnsi="Arial" w:cs="Arial"/>
          <w:u w:val="single"/>
        </w:rPr>
        <w:t>Trading</w:t>
      </w:r>
    </w:p>
    <w:p w14:paraId="6C9A969B" w14:textId="37AA9CA0" w:rsidR="003B7B37" w:rsidRDefault="003B7B37" w:rsidP="00C85F24">
      <w:pPr>
        <w:spacing w:before="120" w:after="120" w:line="240" w:lineRule="auto"/>
        <w:rPr>
          <w:rFonts w:ascii="Arial" w:hAnsi="Arial" w:cs="Arial"/>
        </w:rPr>
      </w:pPr>
      <w:r w:rsidRPr="003B7B37">
        <w:rPr>
          <w:rFonts w:ascii="Arial" w:hAnsi="Arial" w:cs="Arial"/>
        </w:rPr>
        <w:t xml:space="preserve">The core housing business will see revenues increase by the CPI+1 rent settlement of 2.7%. This will boost revenues, but operating margins will remain under pressure since operating costs are also expected to rise. Similarly, the sustained high cost of </w:t>
      </w:r>
      <w:r w:rsidR="00685089">
        <w:rPr>
          <w:rFonts w:ascii="Arial" w:hAnsi="Arial" w:cs="Arial"/>
        </w:rPr>
        <w:t xml:space="preserve">term </w:t>
      </w:r>
      <w:r w:rsidRPr="003B7B37">
        <w:rPr>
          <w:rFonts w:ascii="Arial" w:hAnsi="Arial" w:cs="Arial"/>
        </w:rPr>
        <w:t xml:space="preserve">debt continues to put pressure on Interest Cover ratios, reducing the capacity to deliver on our corporate objectives. This will impact on our capacity to build new homes. </w:t>
      </w:r>
    </w:p>
    <w:p w14:paraId="5A5472EF" w14:textId="77777777" w:rsidR="003B7B37" w:rsidRDefault="00C85F24" w:rsidP="00C85F24">
      <w:pPr>
        <w:spacing w:before="120" w:after="120" w:line="240" w:lineRule="auto"/>
        <w:rPr>
          <w:rFonts w:ascii="Arial" w:hAnsi="Arial" w:cs="Arial"/>
        </w:rPr>
      </w:pPr>
      <w:r w:rsidRPr="00C85F24">
        <w:rPr>
          <w:rFonts w:ascii="Arial" w:hAnsi="Arial" w:cs="Arial"/>
        </w:rPr>
        <w:t xml:space="preserve">We expect to invest a record amount in new homes development as part of our current programme to build around 1,000 new homes per year, however without an increase in direct revenue support from the government our capacity to build new homes will be limited. </w:t>
      </w:r>
    </w:p>
    <w:p w14:paraId="0855644C" w14:textId="77777777" w:rsidR="00C85F24" w:rsidRPr="00C85F24" w:rsidRDefault="00C85F24" w:rsidP="00C85F24">
      <w:pPr>
        <w:spacing w:before="120" w:after="120" w:line="240" w:lineRule="auto"/>
        <w:rPr>
          <w:rFonts w:ascii="Arial" w:hAnsi="Arial" w:cs="Arial"/>
          <w:u w:val="single"/>
        </w:rPr>
      </w:pPr>
      <w:r w:rsidRPr="00C85F24">
        <w:rPr>
          <w:rFonts w:ascii="Arial" w:hAnsi="Arial" w:cs="Arial"/>
          <w:u w:val="single"/>
        </w:rPr>
        <w:t>Investment in building safety</w:t>
      </w:r>
    </w:p>
    <w:p w14:paraId="4EF56863" w14:textId="77777777" w:rsidR="00C85F24" w:rsidRPr="00C85F24" w:rsidRDefault="00C85F24" w:rsidP="00C85F24">
      <w:pPr>
        <w:spacing w:before="120" w:after="120" w:line="240" w:lineRule="auto"/>
        <w:rPr>
          <w:rFonts w:ascii="Arial" w:hAnsi="Arial" w:cs="Arial"/>
        </w:rPr>
      </w:pPr>
      <w:r w:rsidRPr="00C85F24">
        <w:rPr>
          <w:rFonts w:ascii="Arial" w:hAnsi="Arial" w:cs="Arial"/>
        </w:rPr>
        <w:t>Fire safety and damp and mould works have increased investment to our existing homes. This is a sector issue. The longer-term impact of remediation obligations has led to a reduction in our capacity to develop new homes, particularly homes for sale.</w:t>
      </w:r>
    </w:p>
    <w:p w14:paraId="37B28152" w14:textId="3DD21EB2" w:rsidR="00C85F24" w:rsidRPr="00C85F24" w:rsidRDefault="00C85F24" w:rsidP="00C85F24">
      <w:pPr>
        <w:spacing w:before="120" w:after="120" w:line="240" w:lineRule="auto"/>
        <w:rPr>
          <w:rFonts w:ascii="Arial" w:hAnsi="Arial" w:cs="Arial"/>
        </w:rPr>
      </w:pPr>
      <w:r w:rsidRPr="00C85F24">
        <w:rPr>
          <w:rFonts w:ascii="Arial" w:hAnsi="Arial" w:cs="Arial"/>
        </w:rPr>
        <w:t xml:space="preserve">We are continuing with our Safer Buildings programme driven by our desire to put customer safety first. We expect that developers/warranty providers will pick up the costs of remediation for newer buildings where this relates to construction defect. </w:t>
      </w:r>
    </w:p>
    <w:p w14:paraId="191E3A38" w14:textId="77777777" w:rsidR="003B7B37" w:rsidRDefault="003B7B37" w:rsidP="00C85F24">
      <w:pPr>
        <w:spacing w:after="0"/>
        <w:rPr>
          <w:rFonts w:ascii="Arial" w:hAnsi="Arial" w:cs="Arial"/>
        </w:rPr>
      </w:pPr>
      <w:r w:rsidRPr="003B7B37">
        <w:rPr>
          <w:rFonts w:ascii="Arial" w:hAnsi="Arial" w:cs="Arial"/>
        </w:rPr>
        <w:t xml:space="preserve">MHT, trading as Metropolitan Thames Valley, will report results for the six months ended 30 September 2025 in winter 2025. </w:t>
      </w:r>
    </w:p>
    <w:p w14:paraId="634309A8" w14:textId="77777777" w:rsidR="003B7B37" w:rsidRDefault="003B7B37" w:rsidP="00C85F24">
      <w:pPr>
        <w:spacing w:after="0"/>
        <w:rPr>
          <w:rFonts w:ascii="Arial" w:hAnsi="Arial" w:cs="Arial"/>
        </w:rPr>
      </w:pPr>
    </w:p>
    <w:p w14:paraId="23340395" w14:textId="77777777" w:rsidR="00C70012" w:rsidRDefault="00C70012" w:rsidP="00C85F24">
      <w:pPr>
        <w:spacing w:after="0"/>
        <w:rPr>
          <w:rFonts w:ascii="Arial" w:hAnsi="Arial" w:cs="Arial"/>
          <w:b/>
          <w:iCs/>
          <w:szCs w:val="24"/>
        </w:rPr>
      </w:pPr>
    </w:p>
    <w:p w14:paraId="712B8F85" w14:textId="77777777" w:rsidR="00C70012" w:rsidRDefault="00C70012" w:rsidP="00C85F24">
      <w:pPr>
        <w:spacing w:after="0"/>
        <w:rPr>
          <w:rFonts w:ascii="Arial" w:hAnsi="Arial" w:cs="Arial"/>
          <w:b/>
          <w:iCs/>
          <w:szCs w:val="24"/>
        </w:rPr>
      </w:pPr>
    </w:p>
    <w:p w14:paraId="0DE3E07C" w14:textId="77777777" w:rsidR="00C70012" w:rsidRDefault="00C70012" w:rsidP="00C85F24">
      <w:pPr>
        <w:spacing w:after="0"/>
        <w:rPr>
          <w:rFonts w:ascii="Arial" w:hAnsi="Arial" w:cs="Arial"/>
          <w:b/>
          <w:iCs/>
          <w:szCs w:val="24"/>
        </w:rPr>
      </w:pPr>
    </w:p>
    <w:p w14:paraId="5DD515B9" w14:textId="77777777" w:rsidR="00C70012" w:rsidRDefault="00C70012" w:rsidP="00C85F24">
      <w:pPr>
        <w:spacing w:after="0"/>
        <w:rPr>
          <w:rFonts w:ascii="Arial" w:hAnsi="Arial" w:cs="Arial"/>
          <w:b/>
          <w:iCs/>
          <w:szCs w:val="24"/>
        </w:rPr>
      </w:pPr>
    </w:p>
    <w:p w14:paraId="2704968F" w14:textId="77777777" w:rsidR="009C2BF7" w:rsidRDefault="009C2BF7">
      <w:pPr>
        <w:rPr>
          <w:rFonts w:ascii="Arial" w:hAnsi="Arial" w:cs="Arial"/>
          <w:b/>
          <w:iCs/>
          <w:szCs w:val="24"/>
        </w:rPr>
      </w:pPr>
      <w:r>
        <w:rPr>
          <w:rFonts w:ascii="Arial" w:hAnsi="Arial" w:cs="Arial"/>
          <w:b/>
          <w:iCs/>
          <w:szCs w:val="24"/>
        </w:rPr>
        <w:br w:type="page"/>
      </w:r>
    </w:p>
    <w:p w14:paraId="71083BBA" w14:textId="7F0CBEE7" w:rsidR="00C85F24" w:rsidRDefault="00C85F24" w:rsidP="00C85F24">
      <w:pPr>
        <w:spacing w:after="0"/>
        <w:rPr>
          <w:rFonts w:ascii="Arial" w:hAnsi="Arial" w:cs="Arial"/>
          <w:b/>
          <w:iCs/>
          <w:szCs w:val="24"/>
        </w:rPr>
      </w:pPr>
      <w:r w:rsidRPr="00C85F24">
        <w:rPr>
          <w:rFonts w:ascii="Arial" w:hAnsi="Arial" w:cs="Arial"/>
          <w:b/>
          <w:iCs/>
          <w:szCs w:val="24"/>
        </w:rPr>
        <w:lastRenderedPageBreak/>
        <w:t>Consolidated financials</w:t>
      </w:r>
    </w:p>
    <w:p w14:paraId="0F0AF2F2" w14:textId="77777777" w:rsidR="00254A17" w:rsidRDefault="00254A17" w:rsidP="00C85F24">
      <w:pPr>
        <w:spacing w:after="0"/>
        <w:rPr>
          <w:rFonts w:ascii="Arial" w:hAnsi="Arial" w:cs="Arial"/>
          <w:b/>
          <w:iCs/>
          <w:szCs w:val="24"/>
        </w:rPr>
      </w:pPr>
    </w:p>
    <w:p w14:paraId="1ADC97F0" w14:textId="2B61698A" w:rsidR="00C70012" w:rsidRDefault="00C70012" w:rsidP="00C85F24">
      <w:pPr>
        <w:spacing w:after="0"/>
        <w:rPr>
          <w:rFonts w:ascii="Arial" w:hAnsi="Arial" w:cs="Arial"/>
          <w:b/>
          <w:iCs/>
          <w:szCs w:val="24"/>
        </w:rPr>
      </w:pPr>
      <w:r w:rsidRPr="00C70012">
        <w:rPr>
          <w:noProof/>
        </w:rPr>
        <w:drawing>
          <wp:inline distT="0" distB="0" distL="0" distR="0" wp14:anchorId="6DE5E9FE" wp14:editId="2E736940">
            <wp:extent cx="5731510" cy="4115435"/>
            <wp:effectExtent l="0" t="0" r="2540" b="0"/>
            <wp:docPr id="1965417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115435"/>
                    </a:xfrm>
                    <a:prstGeom prst="rect">
                      <a:avLst/>
                    </a:prstGeom>
                    <a:noFill/>
                    <a:ln>
                      <a:noFill/>
                    </a:ln>
                  </pic:spPr>
                </pic:pic>
              </a:graphicData>
            </a:graphic>
          </wp:inline>
        </w:drawing>
      </w:r>
    </w:p>
    <w:p w14:paraId="6925C555" w14:textId="77777777" w:rsidR="00C70012" w:rsidRDefault="00C70012" w:rsidP="00C85F24">
      <w:pPr>
        <w:spacing w:after="0"/>
        <w:rPr>
          <w:rFonts w:ascii="Arial" w:hAnsi="Arial" w:cs="Arial"/>
          <w:b/>
          <w:iCs/>
          <w:szCs w:val="24"/>
        </w:rPr>
      </w:pPr>
    </w:p>
    <w:p w14:paraId="471DCD60" w14:textId="77777777" w:rsidR="00C70012" w:rsidRDefault="00C70012" w:rsidP="00C85F24">
      <w:pPr>
        <w:spacing w:after="0"/>
        <w:rPr>
          <w:rFonts w:ascii="Arial" w:hAnsi="Arial" w:cs="Arial"/>
          <w:b/>
          <w:iCs/>
          <w:szCs w:val="24"/>
        </w:rPr>
      </w:pPr>
    </w:p>
    <w:p w14:paraId="48D39DBB" w14:textId="77777777" w:rsidR="00C70012" w:rsidRDefault="00C70012" w:rsidP="00C85F24">
      <w:pPr>
        <w:spacing w:after="0"/>
        <w:rPr>
          <w:rFonts w:ascii="Arial" w:hAnsi="Arial" w:cs="Arial"/>
          <w:b/>
          <w:iCs/>
          <w:szCs w:val="24"/>
        </w:rPr>
      </w:pPr>
    </w:p>
    <w:p w14:paraId="15103268" w14:textId="77777777" w:rsidR="00C70012" w:rsidRDefault="00C70012" w:rsidP="00C85F24">
      <w:pPr>
        <w:spacing w:after="0"/>
        <w:rPr>
          <w:rFonts w:ascii="Arial" w:hAnsi="Arial" w:cs="Arial"/>
          <w:b/>
          <w:iCs/>
          <w:szCs w:val="24"/>
        </w:rPr>
      </w:pPr>
    </w:p>
    <w:p w14:paraId="776C5343" w14:textId="77777777" w:rsidR="00C70012" w:rsidRPr="00C85F24" w:rsidRDefault="00C70012" w:rsidP="00C85F24">
      <w:pPr>
        <w:spacing w:after="0"/>
        <w:rPr>
          <w:rFonts w:ascii="Arial" w:hAnsi="Arial" w:cs="Arial"/>
          <w:b/>
          <w:iCs/>
          <w:szCs w:val="24"/>
        </w:rPr>
      </w:pPr>
    </w:p>
    <w:p w14:paraId="6E2BECA5" w14:textId="217F3171" w:rsidR="00254A17" w:rsidRDefault="00254A17" w:rsidP="00C85F24">
      <w:pPr>
        <w:spacing w:after="0"/>
        <w:rPr>
          <w:rFonts w:ascii="Arial" w:hAnsi="Arial" w:cs="Arial"/>
          <w:b/>
          <w:iCs/>
          <w:szCs w:val="24"/>
        </w:rPr>
      </w:pPr>
    </w:p>
    <w:p w14:paraId="63E84C60" w14:textId="2B1BDD91" w:rsidR="00C85F24" w:rsidRDefault="00C70012" w:rsidP="00C85F24">
      <w:pPr>
        <w:spacing w:after="0"/>
        <w:rPr>
          <w:rFonts w:ascii="Arial" w:hAnsi="Arial" w:cs="Arial"/>
          <w:b/>
          <w:iCs/>
          <w:szCs w:val="24"/>
        </w:rPr>
      </w:pPr>
      <w:r w:rsidRPr="00C70012">
        <w:rPr>
          <w:noProof/>
        </w:rPr>
        <w:drawing>
          <wp:inline distT="0" distB="0" distL="0" distR="0" wp14:anchorId="1371E659" wp14:editId="2808F800">
            <wp:extent cx="5731510" cy="2976245"/>
            <wp:effectExtent l="0" t="0" r="2540" b="0"/>
            <wp:docPr id="14755329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976245"/>
                    </a:xfrm>
                    <a:prstGeom prst="rect">
                      <a:avLst/>
                    </a:prstGeom>
                    <a:noFill/>
                    <a:ln>
                      <a:noFill/>
                    </a:ln>
                  </pic:spPr>
                </pic:pic>
              </a:graphicData>
            </a:graphic>
          </wp:inline>
        </w:drawing>
      </w:r>
    </w:p>
    <w:p w14:paraId="645F5BAE" w14:textId="68832D0E" w:rsidR="0042592B" w:rsidRDefault="0042592B" w:rsidP="00C85F24">
      <w:pPr>
        <w:spacing w:after="0"/>
        <w:rPr>
          <w:rFonts w:ascii="Arial" w:hAnsi="Arial" w:cs="Arial"/>
          <w:b/>
          <w:iCs/>
          <w:szCs w:val="24"/>
        </w:rPr>
      </w:pPr>
    </w:p>
    <w:p w14:paraId="5271B9D9" w14:textId="77777777" w:rsidR="00404871" w:rsidRPr="00C85F24" w:rsidRDefault="00404871" w:rsidP="00C85F24">
      <w:pPr>
        <w:spacing w:after="0"/>
        <w:rPr>
          <w:rFonts w:ascii="Arial" w:hAnsi="Arial" w:cs="Arial"/>
          <w:b/>
          <w:iCs/>
          <w:szCs w:val="24"/>
        </w:rPr>
      </w:pPr>
    </w:p>
    <w:p w14:paraId="17B47326" w14:textId="77777777" w:rsidR="00C70012" w:rsidRDefault="00C70012" w:rsidP="00404871">
      <w:pPr>
        <w:spacing w:after="0" w:line="240" w:lineRule="auto"/>
        <w:rPr>
          <w:rFonts w:ascii="Arial" w:eastAsia="Times New Roman" w:hAnsi="Arial" w:cs="Arial"/>
          <w:b/>
          <w:bCs/>
          <w:color w:val="000000"/>
          <w:szCs w:val="24"/>
          <w:lang w:eastAsia="en-GB"/>
        </w:rPr>
      </w:pPr>
    </w:p>
    <w:p w14:paraId="4D2325CB" w14:textId="77777777" w:rsidR="00C70012" w:rsidRDefault="00C70012" w:rsidP="00404871">
      <w:pPr>
        <w:spacing w:after="0" w:line="240" w:lineRule="auto"/>
        <w:rPr>
          <w:rFonts w:ascii="Arial" w:eastAsia="Times New Roman" w:hAnsi="Arial" w:cs="Arial"/>
          <w:b/>
          <w:bCs/>
          <w:color w:val="000000"/>
          <w:szCs w:val="24"/>
          <w:lang w:eastAsia="en-GB"/>
        </w:rPr>
      </w:pPr>
    </w:p>
    <w:p w14:paraId="65C2C49F" w14:textId="00B22431" w:rsidR="00404871" w:rsidRDefault="00404871" w:rsidP="00404871">
      <w:pPr>
        <w:spacing w:after="0" w:line="240" w:lineRule="auto"/>
        <w:rPr>
          <w:rFonts w:ascii="Arial" w:eastAsia="Times New Roman" w:hAnsi="Arial" w:cs="Arial"/>
          <w:b/>
          <w:bCs/>
          <w:color w:val="000000"/>
          <w:szCs w:val="24"/>
          <w:lang w:eastAsia="en-GB"/>
        </w:rPr>
      </w:pPr>
      <w:r w:rsidRPr="00C85F24">
        <w:rPr>
          <w:rFonts w:ascii="Arial" w:eastAsia="Times New Roman" w:hAnsi="Arial" w:cs="Arial"/>
          <w:b/>
          <w:bCs/>
          <w:color w:val="000000"/>
          <w:szCs w:val="24"/>
          <w:lang w:eastAsia="en-GB"/>
        </w:rPr>
        <w:lastRenderedPageBreak/>
        <w:t>Cashflow</w:t>
      </w:r>
    </w:p>
    <w:p w14:paraId="07668E93" w14:textId="2EE129BD" w:rsidR="00C70012" w:rsidRDefault="00C70012" w:rsidP="00404871">
      <w:pPr>
        <w:spacing w:after="0" w:line="240" w:lineRule="auto"/>
        <w:rPr>
          <w:rFonts w:ascii="Arial" w:eastAsia="Times New Roman" w:hAnsi="Arial" w:cs="Arial"/>
          <w:b/>
          <w:bCs/>
          <w:color w:val="000000"/>
          <w:szCs w:val="24"/>
          <w:lang w:eastAsia="en-GB"/>
        </w:rPr>
      </w:pPr>
      <w:r w:rsidRPr="00C70012">
        <w:rPr>
          <w:noProof/>
        </w:rPr>
        <w:drawing>
          <wp:inline distT="0" distB="0" distL="0" distR="0" wp14:anchorId="1E498264" wp14:editId="1B6DCA6E">
            <wp:extent cx="5731510" cy="1704340"/>
            <wp:effectExtent l="0" t="0" r="2540" b="0"/>
            <wp:docPr id="12874214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704340"/>
                    </a:xfrm>
                    <a:prstGeom prst="rect">
                      <a:avLst/>
                    </a:prstGeom>
                    <a:noFill/>
                    <a:ln>
                      <a:noFill/>
                    </a:ln>
                  </pic:spPr>
                </pic:pic>
              </a:graphicData>
            </a:graphic>
          </wp:inline>
        </w:drawing>
      </w:r>
    </w:p>
    <w:p w14:paraId="7E3B4271" w14:textId="77777777" w:rsidR="004A3CE1" w:rsidRDefault="004A3CE1" w:rsidP="00404871">
      <w:pPr>
        <w:spacing w:after="0" w:line="240" w:lineRule="auto"/>
        <w:rPr>
          <w:rFonts w:ascii="Arial" w:eastAsia="Times New Roman" w:hAnsi="Arial" w:cs="Arial"/>
          <w:b/>
          <w:bCs/>
          <w:color w:val="000000"/>
          <w:szCs w:val="24"/>
          <w:lang w:eastAsia="en-GB"/>
        </w:rPr>
      </w:pPr>
    </w:p>
    <w:p w14:paraId="7F63C35C" w14:textId="73CA9BC3" w:rsidR="004A3CE1" w:rsidRDefault="004A3CE1" w:rsidP="00404871">
      <w:pPr>
        <w:spacing w:after="0" w:line="240" w:lineRule="auto"/>
        <w:rPr>
          <w:rFonts w:ascii="Arial" w:eastAsia="Times New Roman" w:hAnsi="Arial" w:cs="Arial"/>
          <w:b/>
          <w:bCs/>
          <w:color w:val="000000"/>
          <w:szCs w:val="24"/>
          <w:lang w:eastAsia="en-GB"/>
        </w:rPr>
      </w:pPr>
    </w:p>
    <w:p w14:paraId="49877E88" w14:textId="77777777" w:rsidR="00404871" w:rsidRPr="00C85F24" w:rsidRDefault="00404871" w:rsidP="00C85F24">
      <w:pPr>
        <w:spacing w:after="0" w:line="240" w:lineRule="auto"/>
        <w:rPr>
          <w:rFonts w:ascii="Arial" w:eastAsia="Times New Roman" w:hAnsi="Arial" w:cs="Arial"/>
          <w:b/>
          <w:bCs/>
          <w:color w:val="000000"/>
          <w:szCs w:val="24"/>
          <w:lang w:eastAsia="en-GB"/>
        </w:rPr>
      </w:pPr>
    </w:p>
    <w:p w14:paraId="44C41882" w14:textId="77777777" w:rsidR="00755864" w:rsidRDefault="00755864" w:rsidP="00C85F24">
      <w:pPr>
        <w:spacing w:after="0"/>
        <w:rPr>
          <w:rFonts w:ascii="Arial" w:hAnsi="Arial" w:cs="Arial"/>
          <w:b/>
          <w:szCs w:val="24"/>
        </w:rPr>
      </w:pPr>
    </w:p>
    <w:p w14:paraId="3FB2C4AC" w14:textId="0B43D80D" w:rsidR="00C85F24" w:rsidRPr="00C85F24" w:rsidRDefault="00C85F24" w:rsidP="00C85F24">
      <w:pPr>
        <w:spacing w:after="0"/>
        <w:rPr>
          <w:rFonts w:ascii="Arial" w:hAnsi="Arial" w:cs="Arial"/>
          <w:b/>
          <w:szCs w:val="24"/>
        </w:rPr>
      </w:pPr>
      <w:r w:rsidRPr="00C85F24">
        <w:rPr>
          <w:rFonts w:ascii="Arial" w:hAnsi="Arial" w:cs="Arial"/>
          <w:b/>
          <w:szCs w:val="24"/>
        </w:rPr>
        <w:t xml:space="preserve">Enquiries </w:t>
      </w:r>
    </w:p>
    <w:p w14:paraId="482FE30C" w14:textId="31ECFD06" w:rsidR="00C85F24" w:rsidRPr="00C85F24" w:rsidRDefault="00C85F24" w:rsidP="00C85F24">
      <w:pPr>
        <w:spacing w:after="0"/>
        <w:rPr>
          <w:rFonts w:ascii="Arial" w:hAnsi="Arial" w:cs="Arial"/>
          <w:szCs w:val="24"/>
        </w:rPr>
      </w:pPr>
      <w:r w:rsidRPr="00C85F24">
        <w:rPr>
          <w:rFonts w:ascii="Arial" w:hAnsi="Arial" w:cs="Arial"/>
          <w:szCs w:val="24"/>
        </w:rPr>
        <w:t xml:space="preserve">Please contact Donald McKenzie, Director of Corporate Finance, on 07738-714126 or at </w:t>
      </w:r>
      <w:hyperlink r:id="rId12" w:history="1">
        <w:r w:rsidRPr="00C85F24">
          <w:rPr>
            <w:rStyle w:val="Hyperlink"/>
            <w:rFonts w:ascii="Arial" w:hAnsi="Arial" w:cs="Arial"/>
            <w:szCs w:val="24"/>
          </w:rPr>
          <w:t>donald.mckenzie@mtvh.co.uk</w:t>
        </w:r>
      </w:hyperlink>
    </w:p>
    <w:p w14:paraId="70261C5F" w14:textId="77777777" w:rsidR="00C85F24" w:rsidRPr="00C85F24" w:rsidRDefault="00C85F24" w:rsidP="00C85F24">
      <w:pPr>
        <w:spacing w:after="0"/>
        <w:rPr>
          <w:rFonts w:ascii="Arial" w:hAnsi="Arial" w:cs="Arial"/>
          <w:szCs w:val="24"/>
        </w:rPr>
      </w:pPr>
      <w:r w:rsidRPr="00C85F24">
        <w:rPr>
          <w:rFonts w:ascii="Arial" w:hAnsi="Arial" w:cs="Arial"/>
          <w:szCs w:val="24"/>
        </w:rPr>
        <w:t xml:space="preserve"> </w:t>
      </w:r>
    </w:p>
    <w:p w14:paraId="011B60A0" w14:textId="77777777" w:rsidR="00C85F24" w:rsidRPr="00C85F24" w:rsidRDefault="00C85F24" w:rsidP="00C85F24">
      <w:pPr>
        <w:spacing w:after="0"/>
        <w:rPr>
          <w:rFonts w:ascii="Arial" w:hAnsi="Arial" w:cs="Arial"/>
          <w:szCs w:val="24"/>
        </w:rPr>
      </w:pPr>
      <w:r w:rsidRPr="00C85F24">
        <w:rPr>
          <w:rFonts w:ascii="Arial" w:hAnsi="Arial" w:cs="Arial"/>
          <w:szCs w:val="24"/>
        </w:rPr>
        <w:t xml:space="preserve">This information for investors is also available on our website: </w:t>
      </w:r>
    </w:p>
    <w:p w14:paraId="12569433" w14:textId="77777777" w:rsidR="00C85F24" w:rsidRPr="00C85F24" w:rsidRDefault="00C85F24" w:rsidP="00C85F24">
      <w:pPr>
        <w:spacing w:after="0"/>
        <w:rPr>
          <w:rFonts w:ascii="Arial" w:hAnsi="Arial" w:cs="Arial"/>
        </w:rPr>
      </w:pPr>
      <w:hyperlink r:id="rId13" w:history="1">
        <w:r w:rsidRPr="00C85F24">
          <w:rPr>
            <w:rStyle w:val="Hyperlink"/>
            <w:rFonts w:ascii="Arial" w:hAnsi="Arial" w:cs="Arial"/>
          </w:rPr>
          <w:t>https://www.mtvh.co.uk/about-us/investors/</w:t>
        </w:r>
      </w:hyperlink>
    </w:p>
    <w:p w14:paraId="1E80133D" w14:textId="77777777" w:rsidR="00C85F24" w:rsidRPr="00C85F24" w:rsidRDefault="00C85F24" w:rsidP="00C85F24">
      <w:pPr>
        <w:spacing w:after="0"/>
        <w:rPr>
          <w:rFonts w:ascii="Arial" w:hAnsi="Arial" w:cs="Arial"/>
          <w:szCs w:val="24"/>
        </w:rPr>
      </w:pPr>
      <w:r w:rsidRPr="00C85F24">
        <w:rPr>
          <w:rFonts w:ascii="Arial" w:hAnsi="Arial" w:cs="Arial"/>
          <w:szCs w:val="24"/>
        </w:rPr>
        <w:t xml:space="preserve"> </w:t>
      </w:r>
    </w:p>
    <w:p w14:paraId="326EDEAB" w14:textId="77777777" w:rsidR="00C85F24" w:rsidRPr="00C85F24" w:rsidRDefault="00C85F24" w:rsidP="00C85F24">
      <w:pPr>
        <w:spacing w:after="0"/>
        <w:rPr>
          <w:rFonts w:ascii="Arial" w:hAnsi="Arial" w:cs="Arial"/>
          <w:b/>
          <w:sz w:val="20"/>
          <w:szCs w:val="24"/>
        </w:rPr>
      </w:pPr>
      <w:r w:rsidRPr="00C85F24">
        <w:rPr>
          <w:rFonts w:ascii="Arial" w:hAnsi="Arial" w:cs="Arial"/>
          <w:b/>
          <w:sz w:val="20"/>
          <w:szCs w:val="24"/>
        </w:rPr>
        <w:t>Notes</w:t>
      </w:r>
    </w:p>
    <w:p w14:paraId="62611D99" w14:textId="77777777" w:rsidR="00C85F24" w:rsidRPr="00C85F24" w:rsidRDefault="00C85F24" w:rsidP="00C85F24">
      <w:pPr>
        <w:pStyle w:val="ListParagraph"/>
        <w:numPr>
          <w:ilvl w:val="0"/>
          <w:numId w:val="2"/>
        </w:numPr>
        <w:spacing w:after="200" w:line="276" w:lineRule="auto"/>
        <w:rPr>
          <w:rFonts w:ascii="Arial" w:hAnsi="Arial" w:cs="Arial"/>
          <w:sz w:val="20"/>
          <w:szCs w:val="20"/>
        </w:rPr>
      </w:pPr>
      <w:r w:rsidRPr="00C85F24">
        <w:rPr>
          <w:rFonts w:ascii="Arial" w:hAnsi="Arial" w:cs="Arial"/>
          <w:sz w:val="20"/>
          <w:szCs w:val="24"/>
        </w:rPr>
        <w:t>Operating margin is operating surplus/turnover</w:t>
      </w:r>
    </w:p>
    <w:p w14:paraId="42B9661D" w14:textId="03D34569" w:rsidR="00C85F24" w:rsidRPr="00C85F24" w:rsidRDefault="00755864" w:rsidP="00C85F24">
      <w:pPr>
        <w:pStyle w:val="ListParagraph"/>
        <w:numPr>
          <w:ilvl w:val="0"/>
          <w:numId w:val="2"/>
        </w:numPr>
        <w:spacing w:after="200" w:line="276" w:lineRule="auto"/>
        <w:rPr>
          <w:rFonts w:ascii="Arial" w:hAnsi="Arial" w:cs="Arial"/>
          <w:b/>
          <w:sz w:val="20"/>
          <w:szCs w:val="20"/>
        </w:rPr>
      </w:pPr>
      <w:r w:rsidRPr="00C85F24">
        <w:rPr>
          <w:rFonts w:ascii="Arial" w:hAnsi="Arial" w:cs="Arial"/>
          <w:sz w:val="20"/>
          <w:szCs w:val="24"/>
        </w:rPr>
        <w:t xml:space="preserve">Metropolitan Housing Trust (MHT) </w:t>
      </w:r>
      <w:r w:rsidR="00C85F24" w:rsidRPr="00C85F24">
        <w:rPr>
          <w:rFonts w:ascii="Arial" w:hAnsi="Arial" w:cs="Arial"/>
          <w:sz w:val="20"/>
          <w:szCs w:val="24"/>
        </w:rPr>
        <w:t xml:space="preserve">is the parent of the group trading under the brand of Metropolitan Thames Valley (MTVH). </w:t>
      </w:r>
      <w:r w:rsidRPr="00C85F24">
        <w:rPr>
          <w:rFonts w:ascii="Arial" w:hAnsi="Arial" w:cs="Arial"/>
          <w:sz w:val="20"/>
          <w:szCs w:val="24"/>
        </w:rPr>
        <w:t xml:space="preserve">Thames Valley Housing Association (TVHA) </w:t>
      </w:r>
      <w:r w:rsidR="00C85F24" w:rsidRPr="00C85F24">
        <w:rPr>
          <w:rFonts w:ascii="Arial" w:hAnsi="Arial" w:cs="Arial"/>
          <w:sz w:val="20"/>
          <w:szCs w:val="24"/>
        </w:rPr>
        <w:t xml:space="preserve">is a wholly owned subsidiary of </w:t>
      </w:r>
      <w:r w:rsidR="0061151D">
        <w:rPr>
          <w:rFonts w:ascii="Arial" w:hAnsi="Arial" w:cs="Arial"/>
          <w:sz w:val="20"/>
          <w:szCs w:val="24"/>
        </w:rPr>
        <w:t xml:space="preserve">MHT </w:t>
      </w:r>
      <w:r w:rsidR="00C85F24" w:rsidRPr="00C85F24">
        <w:rPr>
          <w:rFonts w:ascii="Arial" w:hAnsi="Arial" w:cs="Arial"/>
          <w:sz w:val="20"/>
          <w:szCs w:val="24"/>
        </w:rPr>
        <w:t>and MHT owns 100% of the shares of Metropolitan Funding Plc.</w:t>
      </w:r>
    </w:p>
    <w:p w14:paraId="5D8F3B81" w14:textId="77777777" w:rsidR="00C85F24" w:rsidRPr="00C85F24" w:rsidRDefault="00C85F24" w:rsidP="00C85F24">
      <w:pPr>
        <w:rPr>
          <w:rFonts w:ascii="Arial" w:hAnsi="Arial" w:cs="Arial"/>
          <w:b/>
          <w:sz w:val="20"/>
          <w:szCs w:val="20"/>
        </w:rPr>
      </w:pPr>
      <w:r w:rsidRPr="00C85F24">
        <w:rPr>
          <w:rFonts w:ascii="Arial" w:hAnsi="Arial" w:cs="Arial"/>
          <w:b/>
          <w:sz w:val="20"/>
          <w:szCs w:val="20"/>
        </w:rPr>
        <w:t xml:space="preserve"> Disclaimer</w:t>
      </w:r>
    </w:p>
    <w:p w14:paraId="5AEA9CF4" w14:textId="1868B422" w:rsidR="00C85F24" w:rsidRPr="00C85F24" w:rsidRDefault="00C85F24" w:rsidP="00C85F24">
      <w:pPr>
        <w:rPr>
          <w:rFonts w:ascii="Arial" w:hAnsi="Arial" w:cs="Arial"/>
          <w:sz w:val="20"/>
          <w:szCs w:val="20"/>
        </w:rPr>
      </w:pPr>
      <w:r w:rsidRPr="00C85F24">
        <w:rPr>
          <w:rFonts w:ascii="Arial" w:hAnsi="Arial" w:cs="Arial"/>
          <w:sz w:val="20"/>
          <w:szCs w:val="20"/>
        </w:rPr>
        <w:t xml:space="preserve">The information in this announcement of unaudited consolidated interim results has been prepared by the </w:t>
      </w:r>
      <w:r w:rsidR="0061151D">
        <w:rPr>
          <w:rFonts w:ascii="Arial" w:hAnsi="Arial" w:cs="Arial"/>
          <w:sz w:val="20"/>
          <w:szCs w:val="20"/>
        </w:rPr>
        <w:t>Metropolitan Housing Trust Group</w:t>
      </w:r>
      <w:r w:rsidRPr="00C85F24">
        <w:rPr>
          <w:rFonts w:ascii="Arial" w:hAnsi="Arial" w:cs="Arial"/>
          <w:sz w:val="20"/>
          <w:szCs w:val="20"/>
        </w:rPr>
        <w:t xml:space="preserve"> and is for information purposes only. </w:t>
      </w:r>
    </w:p>
    <w:p w14:paraId="7594155A" w14:textId="77777777" w:rsidR="00C85F24" w:rsidRPr="00C85F24" w:rsidRDefault="00C85F24" w:rsidP="00C85F24">
      <w:pPr>
        <w:rPr>
          <w:rFonts w:ascii="Arial" w:hAnsi="Arial" w:cs="Arial"/>
          <w:sz w:val="20"/>
          <w:szCs w:val="20"/>
        </w:rPr>
      </w:pPr>
      <w:r w:rsidRPr="00C85F24">
        <w:rPr>
          <w:rFonts w:ascii="Arial" w:hAnsi="Arial" w:cs="Arial"/>
          <w:sz w:val="20"/>
          <w:szCs w:val="20"/>
        </w:rPr>
        <w:t>The unaudited results announcement should not be construed as an offer or solicitation to buy or sell any securities, or any interest in any such securities, and nothing herein should be construed as a recommendation or advice to invest in any such securities.</w:t>
      </w:r>
    </w:p>
    <w:p w14:paraId="4D04204B" w14:textId="77777777" w:rsidR="00C85F24" w:rsidRPr="00C85F24" w:rsidRDefault="00C85F24" w:rsidP="00C85F24">
      <w:pPr>
        <w:rPr>
          <w:rFonts w:ascii="Arial" w:hAnsi="Arial" w:cs="Arial"/>
          <w:sz w:val="20"/>
          <w:szCs w:val="20"/>
        </w:rPr>
      </w:pPr>
      <w:r w:rsidRPr="00C85F24">
        <w:rPr>
          <w:rFonts w:ascii="Arial" w:hAnsi="Arial" w:cs="Arial"/>
          <w:sz w:val="20"/>
          <w:szCs w:val="20"/>
        </w:rPr>
        <w:t>This unaudited results announcement contains certain ‘forward-looking’ statements reflecting, among other things, our current views on markets, activities and prospects. By their nature, forward looking statements involve a number of risks, uncertainties or assumptions that could cause actual results to differ materially from those expressed or implied by those statements. Actual outcomes may differ materially. Such statements are a correct reflection of our views only on the publication date and no representation or warranty is given in relation to them, including as to their completeness or accuracy or the basis on which they were prepared. Financial results quoted are unaudited. We do not undertake to update or revise such public statements as our expectations change in response to events. Accordingly undue reliance should not be placed on forward looking statements.</w:t>
      </w:r>
    </w:p>
    <w:p w14:paraId="2B3DF46D" w14:textId="77777777" w:rsidR="005E7E08" w:rsidRPr="00C85F24" w:rsidRDefault="005E7E08">
      <w:pPr>
        <w:rPr>
          <w:rFonts w:ascii="Arial" w:hAnsi="Arial" w:cs="Arial"/>
        </w:rPr>
      </w:pPr>
    </w:p>
    <w:sectPr w:rsidR="005E7E08" w:rsidRPr="00C85F24" w:rsidSect="00685089">
      <w:pgSz w:w="11906" w:h="16838"/>
      <w:pgMar w:top="1440"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F23A4" w14:textId="77777777" w:rsidR="007C721F" w:rsidRDefault="007C721F" w:rsidP="004307CF">
      <w:pPr>
        <w:spacing w:after="0" w:line="240" w:lineRule="auto"/>
      </w:pPr>
      <w:r>
        <w:separator/>
      </w:r>
    </w:p>
  </w:endnote>
  <w:endnote w:type="continuationSeparator" w:id="0">
    <w:p w14:paraId="00771A00" w14:textId="77777777" w:rsidR="007C721F" w:rsidRDefault="007C721F" w:rsidP="00430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988AE" w14:textId="77777777" w:rsidR="007C721F" w:rsidRDefault="007C721F" w:rsidP="004307CF">
      <w:pPr>
        <w:spacing w:after="0" w:line="240" w:lineRule="auto"/>
      </w:pPr>
      <w:r>
        <w:separator/>
      </w:r>
    </w:p>
  </w:footnote>
  <w:footnote w:type="continuationSeparator" w:id="0">
    <w:p w14:paraId="4CD2EE0B" w14:textId="77777777" w:rsidR="007C721F" w:rsidRDefault="007C721F" w:rsidP="00430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67FE1"/>
    <w:multiLevelType w:val="hybridMultilevel"/>
    <w:tmpl w:val="53D4796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08074F7"/>
    <w:multiLevelType w:val="hybridMultilevel"/>
    <w:tmpl w:val="E0943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970A1E"/>
    <w:multiLevelType w:val="hybridMultilevel"/>
    <w:tmpl w:val="30D0F05E"/>
    <w:lvl w:ilvl="0" w:tplc="DC0C5B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76381A"/>
    <w:multiLevelType w:val="hybridMultilevel"/>
    <w:tmpl w:val="F912BEDE"/>
    <w:lvl w:ilvl="0" w:tplc="08090005">
      <w:start w:val="1"/>
      <w:numFmt w:val="bullet"/>
      <w:lvlText w:val=""/>
      <w:lvlJc w:val="left"/>
      <w:pPr>
        <w:ind w:left="-151" w:hanging="360"/>
      </w:pPr>
      <w:rPr>
        <w:rFonts w:ascii="Wingdings" w:hAnsi="Wingdings" w:hint="default"/>
      </w:rPr>
    </w:lvl>
    <w:lvl w:ilvl="1" w:tplc="08090003">
      <w:start w:val="1"/>
      <w:numFmt w:val="bullet"/>
      <w:lvlText w:val="o"/>
      <w:lvlJc w:val="left"/>
      <w:pPr>
        <w:ind w:left="569" w:hanging="360"/>
      </w:pPr>
      <w:rPr>
        <w:rFonts w:ascii="Courier New" w:hAnsi="Courier New" w:cs="Courier New" w:hint="default"/>
      </w:rPr>
    </w:lvl>
    <w:lvl w:ilvl="2" w:tplc="08090005" w:tentative="1">
      <w:start w:val="1"/>
      <w:numFmt w:val="bullet"/>
      <w:lvlText w:val=""/>
      <w:lvlJc w:val="left"/>
      <w:pPr>
        <w:ind w:left="1289" w:hanging="360"/>
      </w:pPr>
      <w:rPr>
        <w:rFonts w:ascii="Wingdings" w:hAnsi="Wingdings" w:hint="default"/>
      </w:rPr>
    </w:lvl>
    <w:lvl w:ilvl="3" w:tplc="08090001" w:tentative="1">
      <w:start w:val="1"/>
      <w:numFmt w:val="bullet"/>
      <w:lvlText w:val=""/>
      <w:lvlJc w:val="left"/>
      <w:pPr>
        <w:ind w:left="2009" w:hanging="360"/>
      </w:pPr>
      <w:rPr>
        <w:rFonts w:ascii="Symbol" w:hAnsi="Symbol" w:hint="default"/>
      </w:rPr>
    </w:lvl>
    <w:lvl w:ilvl="4" w:tplc="08090003" w:tentative="1">
      <w:start w:val="1"/>
      <w:numFmt w:val="bullet"/>
      <w:lvlText w:val="o"/>
      <w:lvlJc w:val="left"/>
      <w:pPr>
        <w:ind w:left="2729" w:hanging="360"/>
      </w:pPr>
      <w:rPr>
        <w:rFonts w:ascii="Courier New" w:hAnsi="Courier New" w:cs="Courier New" w:hint="default"/>
      </w:rPr>
    </w:lvl>
    <w:lvl w:ilvl="5" w:tplc="08090005" w:tentative="1">
      <w:start w:val="1"/>
      <w:numFmt w:val="bullet"/>
      <w:lvlText w:val=""/>
      <w:lvlJc w:val="left"/>
      <w:pPr>
        <w:ind w:left="3449" w:hanging="360"/>
      </w:pPr>
      <w:rPr>
        <w:rFonts w:ascii="Wingdings" w:hAnsi="Wingdings" w:hint="default"/>
      </w:rPr>
    </w:lvl>
    <w:lvl w:ilvl="6" w:tplc="08090001" w:tentative="1">
      <w:start w:val="1"/>
      <w:numFmt w:val="bullet"/>
      <w:lvlText w:val=""/>
      <w:lvlJc w:val="left"/>
      <w:pPr>
        <w:ind w:left="4169" w:hanging="360"/>
      </w:pPr>
      <w:rPr>
        <w:rFonts w:ascii="Symbol" w:hAnsi="Symbol" w:hint="default"/>
      </w:rPr>
    </w:lvl>
    <w:lvl w:ilvl="7" w:tplc="08090003" w:tentative="1">
      <w:start w:val="1"/>
      <w:numFmt w:val="bullet"/>
      <w:lvlText w:val="o"/>
      <w:lvlJc w:val="left"/>
      <w:pPr>
        <w:ind w:left="4889" w:hanging="360"/>
      </w:pPr>
      <w:rPr>
        <w:rFonts w:ascii="Courier New" w:hAnsi="Courier New" w:cs="Courier New" w:hint="default"/>
      </w:rPr>
    </w:lvl>
    <w:lvl w:ilvl="8" w:tplc="08090005" w:tentative="1">
      <w:start w:val="1"/>
      <w:numFmt w:val="bullet"/>
      <w:lvlText w:val=""/>
      <w:lvlJc w:val="left"/>
      <w:pPr>
        <w:ind w:left="5609" w:hanging="360"/>
      </w:pPr>
      <w:rPr>
        <w:rFonts w:ascii="Wingdings" w:hAnsi="Wingdings" w:hint="default"/>
      </w:rPr>
    </w:lvl>
  </w:abstractNum>
  <w:abstractNum w:abstractNumId="4" w15:restartNumberingAfterBreak="0">
    <w:nsid w:val="7D60299E"/>
    <w:multiLevelType w:val="hybridMultilevel"/>
    <w:tmpl w:val="A0708AF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0454325">
    <w:abstractNumId w:val="4"/>
  </w:num>
  <w:num w:numId="2" w16cid:durableId="2058621014">
    <w:abstractNumId w:val="2"/>
  </w:num>
  <w:num w:numId="3" w16cid:durableId="1249004068">
    <w:abstractNumId w:val="0"/>
  </w:num>
  <w:num w:numId="4" w16cid:durableId="43338840">
    <w:abstractNumId w:val="1"/>
  </w:num>
  <w:num w:numId="5" w16cid:durableId="258564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24"/>
    <w:rsid w:val="000034E0"/>
    <w:rsid w:val="00037067"/>
    <w:rsid w:val="00057BA2"/>
    <w:rsid w:val="00075D1F"/>
    <w:rsid w:val="00084085"/>
    <w:rsid w:val="00097A03"/>
    <w:rsid w:val="000A10CE"/>
    <w:rsid w:val="000D6235"/>
    <w:rsid w:val="000E0286"/>
    <w:rsid w:val="000F6051"/>
    <w:rsid w:val="00145395"/>
    <w:rsid w:val="00175489"/>
    <w:rsid w:val="001B6F60"/>
    <w:rsid w:val="001C1458"/>
    <w:rsid w:val="00254A17"/>
    <w:rsid w:val="002732FC"/>
    <w:rsid w:val="002A0C5C"/>
    <w:rsid w:val="002D1B69"/>
    <w:rsid w:val="002E3910"/>
    <w:rsid w:val="002F5FFF"/>
    <w:rsid w:val="002F7C0D"/>
    <w:rsid w:val="00365D8F"/>
    <w:rsid w:val="00395F95"/>
    <w:rsid w:val="003A0F8B"/>
    <w:rsid w:val="003A230E"/>
    <w:rsid w:val="003B7B37"/>
    <w:rsid w:val="003C1480"/>
    <w:rsid w:val="003E76FD"/>
    <w:rsid w:val="003F187B"/>
    <w:rsid w:val="00404871"/>
    <w:rsid w:val="00415DEE"/>
    <w:rsid w:val="0042592B"/>
    <w:rsid w:val="004307CF"/>
    <w:rsid w:val="004635C4"/>
    <w:rsid w:val="004642A4"/>
    <w:rsid w:val="00471865"/>
    <w:rsid w:val="00487A79"/>
    <w:rsid w:val="00491025"/>
    <w:rsid w:val="0049353D"/>
    <w:rsid w:val="004A32E4"/>
    <w:rsid w:val="004A3CE1"/>
    <w:rsid w:val="004C2DEE"/>
    <w:rsid w:val="004C61F7"/>
    <w:rsid w:val="004D291D"/>
    <w:rsid w:val="005004EE"/>
    <w:rsid w:val="00535AA4"/>
    <w:rsid w:val="00544E3A"/>
    <w:rsid w:val="00562905"/>
    <w:rsid w:val="00577084"/>
    <w:rsid w:val="005B7148"/>
    <w:rsid w:val="005C7F1E"/>
    <w:rsid w:val="005E31B2"/>
    <w:rsid w:val="005E735F"/>
    <w:rsid w:val="005E7E08"/>
    <w:rsid w:val="005F29C3"/>
    <w:rsid w:val="0061151D"/>
    <w:rsid w:val="00611CBA"/>
    <w:rsid w:val="00644652"/>
    <w:rsid w:val="00653C14"/>
    <w:rsid w:val="00665A46"/>
    <w:rsid w:val="0066719B"/>
    <w:rsid w:val="00685089"/>
    <w:rsid w:val="00694B7B"/>
    <w:rsid w:val="006A766A"/>
    <w:rsid w:val="006B0C62"/>
    <w:rsid w:val="006C6448"/>
    <w:rsid w:val="006E4821"/>
    <w:rsid w:val="007037E1"/>
    <w:rsid w:val="00745293"/>
    <w:rsid w:val="00754B11"/>
    <w:rsid w:val="00755864"/>
    <w:rsid w:val="00757CF2"/>
    <w:rsid w:val="00763A0B"/>
    <w:rsid w:val="007856E1"/>
    <w:rsid w:val="00786714"/>
    <w:rsid w:val="0079137C"/>
    <w:rsid w:val="00792CD9"/>
    <w:rsid w:val="007A6E7E"/>
    <w:rsid w:val="007B0729"/>
    <w:rsid w:val="007C16AB"/>
    <w:rsid w:val="007C4E94"/>
    <w:rsid w:val="007C721F"/>
    <w:rsid w:val="007F5116"/>
    <w:rsid w:val="00800B23"/>
    <w:rsid w:val="00801AE4"/>
    <w:rsid w:val="00804B65"/>
    <w:rsid w:val="0083014F"/>
    <w:rsid w:val="008411E2"/>
    <w:rsid w:val="008552C3"/>
    <w:rsid w:val="00860A4E"/>
    <w:rsid w:val="00870ED1"/>
    <w:rsid w:val="0088265E"/>
    <w:rsid w:val="008C130C"/>
    <w:rsid w:val="00927B3A"/>
    <w:rsid w:val="0095175D"/>
    <w:rsid w:val="00953752"/>
    <w:rsid w:val="00956728"/>
    <w:rsid w:val="009600B4"/>
    <w:rsid w:val="009650C1"/>
    <w:rsid w:val="00972C46"/>
    <w:rsid w:val="00977896"/>
    <w:rsid w:val="00987950"/>
    <w:rsid w:val="009A2533"/>
    <w:rsid w:val="009C2BF7"/>
    <w:rsid w:val="009F01D4"/>
    <w:rsid w:val="009F1229"/>
    <w:rsid w:val="00A4019D"/>
    <w:rsid w:val="00A529B2"/>
    <w:rsid w:val="00A5638F"/>
    <w:rsid w:val="00A829DF"/>
    <w:rsid w:val="00A852D5"/>
    <w:rsid w:val="00A944D8"/>
    <w:rsid w:val="00AA2CC8"/>
    <w:rsid w:val="00B24B10"/>
    <w:rsid w:val="00B27EB8"/>
    <w:rsid w:val="00B44BD4"/>
    <w:rsid w:val="00B46CB8"/>
    <w:rsid w:val="00B7329E"/>
    <w:rsid w:val="00B81495"/>
    <w:rsid w:val="00B84FD9"/>
    <w:rsid w:val="00B9665A"/>
    <w:rsid w:val="00BC635F"/>
    <w:rsid w:val="00BD4932"/>
    <w:rsid w:val="00C0116E"/>
    <w:rsid w:val="00C24C6A"/>
    <w:rsid w:val="00C4431F"/>
    <w:rsid w:val="00C70012"/>
    <w:rsid w:val="00C85F24"/>
    <w:rsid w:val="00C9559F"/>
    <w:rsid w:val="00CA7175"/>
    <w:rsid w:val="00CB392E"/>
    <w:rsid w:val="00CD3EED"/>
    <w:rsid w:val="00CD5A86"/>
    <w:rsid w:val="00D32D0A"/>
    <w:rsid w:val="00D34F99"/>
    <w:rsid w:val="00DB2C3F"/>
    <w:rsid w:val="00DF6DF7"/>
    <w:rsid w:val="00E15982"/>
    <w:rsid w:val="00E27A88"/>
    <w:rsid w:val="00E40F39"/>
    <w:rsid w:val="00E75549"/>
    <w:rsid w:val="00E9598A"/>
    <w:rsid w:val="00EE2067"/>
    <w:rsid w:val="00F10C84"/>
    <w:rsid w:val="00F124AF"/>
    <w:rsid w:val="00F20DDC"/>
    <w:rsid w:val="00F30E3C"/>
    <w:rsid w:val="00F666A3"/>
    <w:rsid w:val="00F76F08"/>
    <w:rsid w:val="00FB0209"/>
    <w:rsid w:val="00FD4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A8EFE"/>
  <w15:chartTrackingRefBased/>
  <w15:docId w15:val="{7E20D982-023C-4225-BA48-685F6874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F24"/>
  </w:style>
  <w:style w:type="paragraph" w:styleId="Heading1">
    <w:name w:val="heading 1"/>
    <w:basedOn w:val="Normal"/>
    <w:next w:val="Normal"/>
    <w:link w:val="Heading1Char"/>
    <w:uiPriority w:val="9"/>
    <w:qFormat/>
    <w:rsid w:val="00C85F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F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F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F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F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F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F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F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F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F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F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F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F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F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F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F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F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F24"/>
    <w:rPr>
      <w:rFonts w:eastAsiaTheme="majorEastAsia" w:cstheme="majorBidi"/>
      <w:color w:val="272727" w:themeColor="text1" w:themeTint="D8"/>
    </w:rPr>
  </w:style>
  <w:style w:type="paragraph" w:styleId="Title">
    <w:name w:val="Title"/>
    <w:basedOn w:val="Normal"/>
    <w:next w:val="Normal"/>
    <w:link w:val="TitleChar"/>
    <w:uiPriority w:val="10"/>
    <w:qFormat/>
    <w:rsid w:val="00C85F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F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F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F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F24"/>
    <w:pPr>
      <w:spacing w:before="160"/>
      <w:jc w:val="center"/>
    </w:pPr>
    <w:rPr>
      <w:i/>
      <w:iCs/>
      <w:color w:val="404040" w:themeColor="text1" w:themeTint="BF"/>
    </w:rPr>
  </w:style>
  <w:style w:type="character" w:customStyle="1" w:styleId="QuoteChar">
    <w:name w:val="Quote Char"/>
    <w:basedOn w:val="DefaultParagraphFont"/>
    <w:link w:val="Quote"/>
    <w:uiPriority w:val="29"/>
    <w:rsid w:val="00C85F24"/>
    <w:rPr>
      <w:i/>
      <w:iCs/>
      <w:color w:val="404040" w:themeColor="text1" w:themeTint="BF"/>
    </w:rPr>
  </w:style>
  <w:style w:type="paragraph" w:styleId="ListParagraph">
    <w:name w:val="List Paragraph"/>
    <w:aliases w:val="Numbered  Paragraph,Bullet 1,Bullet Points,Colorful List - Accent 11,Dot pt,F5 List Paragraph,Indicator Text,L,List Paragraph Char Char Char,List Paragraph1,List Paragraph11,List Paragraph12,MAIN CONTENT,No Spacing1,Normal numbered"/>
    <w:basedOn w:val="Normal"/>
    <w:link w:val="ListParagraphChar"/>
    <w:uiPriority w:val="34"/>
    <w:qFormat/>
    <w:rsid w:val="00C85F24"/>
    <w:pPr>
      <w:ind w:left="720"/>
      <w:contextualSpacing/>
    </w:pPr>
  </w:style>
  <w:style w:type="character" w:styleId="IntenseEmphasis">
    <w:name w:val="Intense Emphasis"/>
    <w:basedOn w:val="DefaultParagraphFont"/>
    <w:uiPriority w:val="21"/>
    <w:qFormat/>
    <w:rsid w:val="00C85F24"/>
    <w:rPr>
      <w:i/>
      <w:iCs/>
      <w:color w:val="0F4761" w:themeColor="accent1" w:themeShade="BF"/>
    </w:rPr>
  </w:style>
  <w:style w:type="paragraph" w:styleId="IntenseQuote">
    <w:name w:val="Intense Quote"/>
    <w:basedOn w:val="Normal"/>
    <w:next w:val="Normal"/>
    <w:link w:val="IntenseQuoteChar"/>
    <w:uiPriority w:val="30"/>
    <w:qFormat/>
    <w:rsid w:val="00C85F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F24"/>
    <w:rPr>
      <w:i/>
      <w:iCs/>
      <w:color w:val="0F4761" w:themeColor="accent1" w:themeShade="BF"/>
    </w:rPr>
  </w:style>
  <w:style w:type="character" w:styleId="IntenseReference">
    <w:name w:val="Intense Reference"/>
    <w:basedOn w:val="DefaultParagraphFont"/>
    <w:uiPriority w:val="32"/>
    <w:qFormat/>
    <w:rsid w:val="00C85F24"/>
    <w:rPr>
      <w:b/>
      <w:bCs/>
      <w:smallCaps/>
      <w:color w:val="0F4761" w:themeColor="accent1" w:themeShade="BF"/>
      <w:spacing w:val="5"/>
    </w:rPr>
  </w:style>
  <w:style w:type="table" w:styleId="TableGrid">
    <w:name w:val="Table Grid"/>
    <w:basedOn w:val="TableNormal"/>
    <w:uiPriority w:val="59"/>
    <w:rsid w:val="00C85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5F24"/>
    <w:rPr>
      <w:color w:val="467886" w:themeColor="hyperlink"/>
      <w:u w:val="single"/>
    </w:rPr>
  </w:style>
  <w:style w:type="paragraph" w:customStyle="1" w:styleId="xmsonormal">
    <w:name w:val="x_msonormal"/>
    <w:basedOn w:val="Normal"/>
    <w:rsid w:val="00C85F24"/>
    <w:pPr>
      <w:spacing w:after="0" w:line="240" w:lineRule="auto"/>
    </w:pPr>
    <w:rPr>
      <w:rFonts w:ascii="Calibri" w:hAnsi="Calibri" w:cs="Calibri"/>
      <w:kern w:val="0"/>
      <w:lang w:eastAsia="en-GB"/>
      <w14:ligatures w14:val="none"/>
    </w:rPr>
  </w:style>
  <w:style w:type="character" w:customStyle="1" w:styleId="ListParagraphChar">
    <w:name w:val="List Paragraph Char"/>
    <w:aliases w:val="Numbered  Paragraph Char,Bullet 1 Char,Bullet Points Char,Colorful List - Accent 11 Char,Dot pt Char,F5 List Paragraph Char,Indicator Text Char,L Char,List Paragraph Char Char Char Char,List Paragraph1 Char,List Paragraph11 Char"/>
    <w:basedOn w:val="DefaultParagraphFont"/>
    <w:link w:val="ListParagraph"/>
    <w:uiPriority w:val="34"/>
    <w:locked/>
    <w:rsid w:val="00C85F24"/>
  </w:style>
  <w:style w:type="paragraph" w:styleId="Revision">
    <w:name w:val="Revision"/>
    <w:hidden/>
    <w:uiPriority w:val="99"/>
    <w:semiHidden/>
    <w:rsid w:val="007A6E7E"/>
    <w:pPr>
      <w:spacing w:after="0" w:line="240" w:lineRule="auto"/>
    </w:pPr>
  </w:style>
  <w:style w:type="character" w:styleId="CommentReference">
    <w:name w:val="annotation reference"/>
    <w:basedOn w:val="DefaultParagraphFont"/>
    <w:uiPriority w:val="99"/>
    <w:semiHidden/>
    <w:unhideWhenUsed/>
    <w:rsid w:val="003C1480"/>
    <w:rPr>
      <w:sz w:val="16"/>
      <w:szCs w:val="16"/>
    </w:rPr>
  </w:style>
  <w:style w:type="paragraph" w:styleId="CommentText">
    <w:name w:val="annotation text"/>
    <w:basedOn w:val="Normal"/>
    <w:link w:val="CommentTextChar"/>
    <w:uiPriority w:val="99"/>
    <w:unhideWhenUsed/>
    <w:rsid w:val="003C1480"/>
    <w:pPr>
      <w:spacing w:line="240" w:lineRule="auto"/>
    </w:pPr>
    <w:rPr>
      <w:sz w:val="20"/>
      <w:szCs w:val="20"/>
    </w:rPr>
  </w:style>
  <w:style w:type="character" w:customStyle="1" w:styleId="CommentTextChar">
    <w:name w:val="Comment Text Char"/>
    <w:basedOn w:val="DefaultParagraphFont"/>
    <w:link w:val="CommentText"/>
    <w:uiPriority w:val="99"/>
    <w:rsid w:val="003C1480"/>
    <w:rPr>
      <w:sz w:val="20"/>
      <w:szCs w:val="20"/>
    </w:rPr>
  </w:style>
  <w:style w:type="paragraph" w:styleId="CommentSubject">
    <w:name w:val="annotation subject"/>
    <w:basedOn w:val="CommentText"/>
    <w:next w:val="CommentText"/>
    <w:link w:val="CommentSubjectChar"/>
    <w:uiPriority w:val="99"/>
    <w:semiHidden/>
    <w:unhideWhenUsed/>
    <w:rsid w:val="003C1480"/>
    <w:rPr>
      <w:b/>
      <w:bCs/>
    </w:rPr>
  </w:style>
  <w:style w:type="character" w:customStyle="1" w:styleId="CommentSubjectChar">
    <w:name w:val="Comment Subject Char"/>
    <w:basedOn w:val="CommentTextChar"/>
    <w:link w:val="CommentSubject"/>
    <w:uiPriority w:val="99"/>
    <w:semiHidden/>
    <w:rsid w:val="003C1480"/>
    <w:rPr>
      <w:b/>
      <w:bCs/>
      <w:sz w:val="20"/>
      <w:szCs w:val="20"/>
    </w:rPr>
  </w:style>
  <w:style w:type="paragraph" w:styleId="Header">
    <w:name w:val="header"/>
    <w:basedOn w:val="Normal"/>
    <w:link w:val="HeaderChar"/>
    <w:uiPriority w:val="99"/>
    <w:unhideWhenUsed/>
    <w:rsid w:val="00430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7CF"/>
  </w:style>
  <w:style w:type="paragraph" w:styleId="Footer">
    <w:name w:val="footer"/>
    <w:basedOn w:val="Normal"/>
    <w:link w:val="FooterChar"/>
    <w:uiPriority w:val="99"/>
    <w:unhideWhenUsed/>
    <w:rsid w:val="00430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0644">
      <w:bodyDiv w:val="1"/>
      <w:marLeft w:val="0"/>
      <w:marRight w:val="0"/>
      <w:marTop w:val="0"/>
      <w:marBottom w:val="0"/>
      <w:divBdr>
        <w:top w:val="none" w:sz="0" w:space="0" w:color="auto"/>
        <w:left w:val="none" w:sz="0" w:space="0" w:color="auto"/>
        <w:bottom w:val="none" w:sz="0" w:space="0" w:color="auto"/>
        <w:right w:val="none" w:sz="0" w:space="0" w:color="auto"/>
      </w:divBdr>
    </w:div>
    <w:div w:id="222911625">
      <w:bodyDiv w:val="1"/>
      <w:marLeft w:val="0"/>
      <w:marRight w:val="0"/>
      <w:marTop w:val="0"/>
      <w:marBottom w:val="0"/>
      <w:divBdr>
        <w:top w:val="none" w:sz="0" w:space="0" w:color="auto"/>
        <w:left w:val="none" w:sz="0" w:space="0" w:color="auto"/>
        <w:bottom w:val="none" w:sz="0" w:space="0" w:color="auto"/>
        <w:right w:val="none" w:sz="0" w:space="0" w:color="auto"/>
      </w:divBdr>
    </w:div>
    <w:div w:id="271327693">
      <w:bodyDiv w:val="1"/>
      <w:marLeft w:val="0"/>
      <w:marRight w:val="0"/>
      <w:marTop w:val="0"/>
      <w:marBottom w:val="0"/>
      <w:divBdr>
        <w:top w:val="none" w:sz="0" w:space="0" w:color="auto"/>
        <w:left w:val="none" w:sz="0" w:space="0" w:color="auto"/>
        <w:bottom w:val="none" w:sz="0" w:space="0" w:color="auto"/>
        <w:right w:val="none" w:sz="0" w:space="0" w:color="auto"/>
      </w:divBdr>
    </w:div>
    <w:div w:id="732586942">
      <w:bodyDiv w:val="1"/>
      <w:marLeft w:val="0"/>
      <w:marRight w:val="0"/>
      <w:marTop w:val="0"/>
      <w:marBottom w:val="0"/>
      <w:divBdr>
        <w:top w:val="none" w:sz="0" w:space="0" w:color="auto"/>
        <w:left w:val="none" w:sz="0" w:space="0" w:color="auto"/>
        <w:bottom w:val="none" w:sz="0" w:space="0" w:color="auto"/>
        <w:right w:val="none" w:sz="0" w:space="0" w:color="auto"/>
      </w:divBdr>
    </w:div>
    <w:div w:id="1659769337">
      <w:bodyDiv w:val="1"/>
      <w:marLeft w:val="0"/>
      <w:marRight w:val="0"/>
      <w:marTop w:val="0"/>
      <w:marBottom w:val="0"/>
      <w:divBdr>
        <w:top w:val="none" w:sz="0" w:space="0" w:color="auto"/>
        <w:left w:val="none" w:sz="0" w:space="0" w:color="auto"/>
        <w:bottom w:val="none" w:sz="0" w:space="0" w:color="auto"/>
        <w:right w:val="none" w:sz="0" w:space="0" w:color="auto"/>
      </w:divBdr>
    </w:div>
    <w:div w:id="200678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D4B5A-BC30-43D3-A0D0-3C2EC5EF81A5}">
  <ds:schemaRefs>
    <ds:schemaRef ds:uri="http://schemas.openxmlformats.org/officeDocument/2006/bibliography"/>
  </ds:schemaRefs>
</ds:datastoreItem>
</file>

<file path=docMetadata/LabelInfo.xml><?xml version="1.0" encoding="utf-8"?>
<clbl:labelList xmlns:clbl="http://schemas.microsoft.com/office/2020/mipLabelMetadata">
  <clbl:label id="{ab573529-ede7-4d11-8ef4-3bd249b16fc7}" enabled="0" method="" siteId="{ab573529-ede7-4d11-8ef4-3bd249b16fc7}" removed="1"/>
</clbl:labelList>
</file>

<file path=docProps/app.xml><?xml version="1.0" encoding="utf-8"?>
<Properties xmlns="http://schemas.openxmlformats.org/officeDocument/2006/extended-properties" xmlns:vt="http://schemas.openxmlformats.org/officeDocument/2006/docPropsVTypes">
  <Template>Normal</Template>
  <TotalTime>45</TotalTime>
  <Pages>6</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Curtis</dc:creator>
  <cp:keywords/>
  <dc:description/>
  <cp:lastModifiedBy>Donald McKenzie</cp:lastModifiedBy>
  <cp:revision>3</cp:revision>
  <cp:lastPrinted>2025-05-29T12:37:00Z</cp:lastPrinted>
  <dcterms:created xsi:type="dcterms:W3CDTF">2025-06-04T12:54:00Z</dcterms:created>
  <dcterms:modified xsi:type="dcterms:W3CDTF">2025-06-04T12:55:00Z</dcterms:modified>
</cp:coreProperties>
</file>